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C962F" w14:textId="6629A793" w:rsidR="0040630B" w:rsidRPr="00DC7D0B" w:rsidRDefault="004810B8" w:rsidP="00186F66">
      <w:pPr>
        <w:rPr>
          <w:b/>
          <w:bCs/>
          <w:sz w:val="28"/>
          <w:szCs w:val="28"/>
        </w:rPr>
      </w:pPr>
      <w:r w:rsidRPr="00DC7D0B">
        <w:rPr>
          <w:b/>
          <w:bCs/>
          <w:sz w:val="28"/>
          <w:szCs w:val="28"/>
        </w:rPr>
        <w:t xml:space="preserve">Appendix </w:t>
      </w:r>
      <w:r w:rsidR="00186F66">
        <w:rPr>
          <w:b/>
          <w:bCs/>
          <w:sz w:val="28"/>
          <w:szCs w:val="28"/>
        </w:rPr>
        <w:t>'</w:t>
      </w:r>
      <w:r w:rsidRPr="00DC7D0B">
        <w:rPr>
          <w:b/>
          <w:bCs/>
          <w:sz w:val="28"/>
          <w:szCs w:val="28"/>
        </w:rPr>
        <w:t>B</w:t>
      </w:r>
      <w:r w:rsidR="00186F66">
        <w:rPr>
          <w:b/>
          <w:bCs/>
          <w:sz w:val="28"/>
          <w:szCs w:val="28"/>
        </w:rPr>
        <w:t>'</w:t>
      </w:r>
    </w:p>
    <w:p w14:paraId="626A4CA8" w14:textId="77777777" w:rsidR="0040630B" w:rsidRDefault="0040630B" w:rsidP="0040630B">
      <w:pPr>
        <w:jc w:val="right"/>
        <w:rPr>
          <w:b/>
          <w:bCs/>
        </w:rPr>
      </w:pPr>
    </w:p>
    <w:p w14:paraId="230BC317" w14:textId="77777777" w:rsidR="0040630B" w:rsidRDefault="0040630B" w:rsidP="0040630B">
      <w:pPr>
        <w:pBdr>
          <w:bottom w:val="single" w:sz="12" w:space="1" w:color="auto"/>
        </w:pBdr>
        <w:rPr>
          <w:b/>
          <w:bCs/>
          <w:sz w:val="28"/>
          <w:szCs w:val="28"/>
        </w:rPr>
      </w:pPr>
      <w:r>
        <w:rPr>
          <w:b/>
          <w:bCs/>
          <w:sz w:val="28"/>
          <w:szCs w:val="28"/>
        </w:rPr>
        <w:t xml:space="preserve">The </w:t>
      </w:r>
      <w:r w:rsidR="00F25AD0">
        <w:rPr>
          <w:b/>
          <w:bCs/>
          <w:sz w:val="28"/>
          <w:szCs w:val="28"/>
        </w:rPr>
        <w:t>County Council</w:t>
      </w:r>
      <w:r>
        <w:rPr>
          <w:b/>
          <w:bCs/>
          <w:sz w:val="28"/>
          <w:szCs w:val="28"/>
        </w:rPr>
        <w:t>'s Treasury Management Strategy 201</w:t>
      </w:r>
      <w:r w:rsidR="007F444A">
        <w:rPr>
          <w:b/>
          <w:bCs/>
          <w:sz w:val="28"/>
          <w:szCs w:val="28"/>
        </w:rPr>
        <w:t>7</w:t>
      </w:r>
      <w:r>
        <w:rPr>
          <w:b/>
          <w:bCs/>
          <w:sz w:val="28"/>
          <w:szCs w:val="28"/>
        </w:rPr>
        <w:t>/</w:t>
      </w:r>
      <w:r w:rsidR="00822F06">
        <w:rPr>
          <w:b/>
          <w:bCs/>
          <w:sz w:val="28"/>
          <w:szCs w:val="28"/>
        </w:rPr>
        <w:t>1</w:t>
      </w:r>
      <w:r w:rsidR="007F444A">
        <w:rPr>
          <w:b/>
          <w:bCs/>
          <w:sz w:val="28"/>
          <w:szCs w:val="28"/>
        </w:rPr>
        <w:t>8</w:t>
      </w:r>
    </w:p>
    <w:p w14:paraId="15481F14" w14:textId="77777777" w:rsidR="0040630B" w:rsidRDefault="0040630B" w:rsidP="0040630B">
      <w:pPr>
        <w:rPr>
          <w:b/>
          <w:bCs/>
        </w:rPr>
      </w:pPr>
    </w:p>
    <w:p w14:paraId="0ADCEDF4" w14:textId="77777777" w:rsidR="0040630B" w:rsidRPr="005262E1" w:rsidRDefault="004A19C1" w:rsidP="005262E1">
      <w:pPr>
        <w:pStyle w:val="ListParagraph"/>
        <w:numPr>
          <w:ilvl w:val="0"/>
          <w:numId w:val="36"/>
        </w:numPr>
        <w:rPr>
          <w:b/>
          <w:bCs/>
          <w:sz w:val="28"/>
          <w:szCs w:val="28"/>
        </w:rPr>
      </w:pPr>
      <w:r w:rsidRPr="005262E1">
        <w:rPr>
          <w:b/>
          <w:bCs/>
          <w:sz w:val="28"/>
          <w:szCs w:val="28"/>
        </w:rPr>
        <w:t>Introduction and Legislative Framework</w:t>
      </w:r>
    </w:p>
    <w:p w14:paraId="58A15925" w14:textId="77777777" w:rsidR="0040630B" w:rsidRDefault="0040630B" w:rsidP="00025990"/>
    <w:p w14:paraId="40E5C06D" w14:textId="77777777" w:rsidR="00633767" w:rsidRPr="001143BB" w:rsidRDefault="00382F7B" w:rsidP="00633767">
      <w:pPr>
        <w:jc w:val="both"/>
      </w:pPr>
      <w:r w:rsidRPr="001143BB">
        <w:t>Under the Local Government Act 2003, lo</w:t>
      </w:r>
      <w:r w:rsidR="00800801" w:rsidRPr="001143BB">
        <w:t>c</w:t>
      </w:r>
      <w:r w:rsidRPr="001143BB">
        <w:t>al authorities must</w:t>
      </w:r>
      <w:r w:rsidR="008C3C8B" w:rsidRPr="001143BB">
        <w:t xml:space="preserve"> have regard to Statutory Proper Practices in their Treasury Management activities. </w:t>
      </w:r>
      <w:r w:rsidR="00633767" w:rsidRPr="001143BB">
        <w:t>In</w:t>
      </w:r>
      <w:r w:rsidR="00633767" w:rsidRPr="001143BB">
        <w:rPr>
          <w:i/>
          <w:lang w:eastAsia="en-US"/>
        </w:rPr>
        <w:t xml:space="preserve"> </w:t>
      </w:r>
      <w:r w:rsidR="00633767" w:rsidRPr="001143BB">
        <w:rPr>
          <w:lang w:eastAsia="en-US"/>
        </w:rPr>
        <w:t>February 2012</w:t>
      </w:r>
      <w:r w:rsidR="00633767" w:rsidRPr="001143BB">
        <w:t xml:space="preserve"> the Council adopted the Chartered Institute of Public Finance and Accountancy’s</w:t>
      </w:r>
      <w:r w:rsidR="00633767" w:rsidRPr="001143BB">
        <w:rPr>
          <w:i/>
        </w:rPr>
        <w:t xml:space="preserve"> Treasury Management in the </w:t>
      </w:r>
      <w:r w:rsidR="00633767" w:rsidRPr="005262E1">
        <w:rPr>
          <w:i/>
        </w:rPr>
        <w:t>Public Services: Code of Practice 2011</w:t>
      </w:r>
      <w:r w:rsidR="00633767" w:rsidRPr="001143BB">
        <w:rPr>
          <w:i/>
        </w:rPr>
        <w:t xml:space="preserve"> Edition </w:t>
      </w:r>
      <w:r w:rsidR="00633767" w:rsidRPr="001143BB">
        <w:t xml:space="preserve">(the CIPFA Code.) </w:t>
      </w:r>
    </w:p>
    <w:p w14:paraId="4913E339" w14:textId="77777777" w:rsidR="004810B8" w:rsidRPr="001143BB" w:rsidRDefault="008C3C8B" w:rsidP="00D635B5">
      <w:pPr>
        <w:jc w:val="both"/>
      </w:pPr>
      <w:r w:rsidRPr="001143BB">
        <w:t xml:space="preserve">These require the </w:t>
      </w:r>
      <w:r w:rsidR="00827BB2">
        <w:t>C</w:t>
      </w:r>
      <w:r w:rsidR="00F25AD0">
        <w:t xml:space="preserve">ounty </w:t>
      </w:r>
      <w:r w:rsidR="00827BB2">
        <w:t>C</w:t>
      </w:r>
      <w:r w:rsidR="00F25AD0">
        <w:t>ouncil</w:t>
      </w:r>
      <w:r w:rsidRPr="001143BB">
        <w:t xml:space="preserve"> to </w:t>
      </w:r>
      <w:r w:rsidR="001A7E13">
        <w:t>approve a</w:t>
      </w:r>
      <w:r w:rsidRPr="001143BB">
        <w:t xml:space="preserve"> </w:t>
      </w:r>
      <w:r w:rsidR="001A7E13">
        <w:t>T</w:t>
      </w:r>
      <w:r w:rsidRPr="001143BB">
        <w:t xml:space="preserve">reasury </w:t>
      </w:r>
      <w:r w:rsidR="001A7E13">
        <w:t>M</w:t>
      </w:r>
      <w:r w:rsidRPr="001143BB">
        <w:t xml:space="preserve">anagement </w:t>
      </w:r>
      <w:r w:rsidR="001A7E13">
        <w:t>Strategy</w:t>
      </w:r>
      <w:r w:rsidRPr="001143BB">
        <w:t xml:space="preserve"> </w:t>
      </w:r>
      <w:r w:rsidR="001A7E13">
        <w:t>before the start of the financial year</w:t>
      </w:r>
      <w:r w:rsidR="003D6797">
        <w:t>.</w:t>
      </w:r>
    </w:p>
    <w:p w14:paraId="1B00E271" w14:textId="77777777" w:rsidR="00633767" w:rsidRPr="001143BB" w:rsidRDefault="00633767" w:rsidP="00633767">
      <w:pPr>
        <w:jc w:val="both"/>
      </w:pPr>
    </w:p>
    <w:p w14:paraId="0BFBCFA3" w14:textId="3EB8A1D7" w:rsidR="00633767" w:rsidRPr="001143BB" w:rsidRDefault="00633767" w:rsidP="00633767">
      <w:pPr>
        <w:jc w:val="both"/>
      </w:pPr>
      <w:r w:rsidRPr="005262E1">
        <w:t xml:space="preserve">In addition, the Department for Communities and Local Government (CLG) issued revised guidance on local authority investments in March 2010 that requires </w:t>
      </w:r>
      <w:r w:rsidR="003D6797">
        <w:t>the County Council to</w:t>
      </w:r>
      <w:r w:rsidR="003D6797" w:rsidRPr="005262E1">
        <w:t xml:space="preserve"> </w:t>
      </w:r>
      <w:r w:rsidR="003D6797">
        <w:t>a</w:t>
      </w:r>
      <w:r w:rsidRPr="005262E1">
        <w:t>pprov</w:t>
      </w:r>
      <w:r w:rsidR="003D6797">
        <w:t>e</w:t>
      </w:r>
      <w:r w:rsidRPr="005262E1">
        <w:t xml:space="preserve"> an investment strategy before the start of each financial year.</w:t>
      </w:r>
      <w:r w:rsidR="00536D86" w:rsidRPr="005262E1">
        <w:t xml:space="preserve"> The strategy also has regard to other CIPFA treasury management publications such as</w:t>
      </w:r>
      <w:r w:rsidR="003D6797">
        <w:t xml:space="preserve"> risk management in </w:t>
      </w:r>
      <w:r w:rsidR="00536D86" w:rsidRPr="005262E1">
        <w:t xml:space="preserve">'Treasury </w:t>
      </w:r>
      <w:r w:rsidR="00827BB2">
        <w:t>Risk</w:t>
      </w:r>
      <w:r w:rsidR="00536D86" w:rsidRPr="005262E1">
        <w:t xml:space="preserve"> Toolkit for Local Authorities' (2012) and</w:t>
      </w:r>
      <w:r w:rsidR="003D6797">
        <w:t xml:space="preserve"> the use of derivatives in</w:t>
      </w:r>
      <w:r w:rsidR="00536D86" w:rsidRPr="005262E1">
        <w:t xml:space="preserve"> 'Using Financial Instruments to Manage Risk' (2013)</w:t>
      </w:r>
      <w:r w:rsidR="00186F66">
        <w:t>.</w:t>
      </w:r>
    </w:p>
    <w:p w14:paraId="565957BC" w14:textId="77777777" w:rsidR="00633767" w:rsidRPr="001143BB" w:rsidRDefault="00633767" w:rsidP="00025990"/>
    <w:p w14:paraId="3C87B7FD" w14:textId="77777777" w:rsidR="004810B8" w:rsidRPr="001143BB" w:rsidRDefault="008C3C8B" w:rsidP="00025990">
      <w:r w:rsidRPr="001143BB">
        <w:t>In line with these various requirements this</w:t>
      </w:r>
      <w:r w:rsidR="004810B8" w:rsidRPr="001143BB">
        <w:t xml:space="preserve"> strategy includes:</w:t>
      </w:r>
    </w:p>
    <w:p w14:paraId="3DAA45F1" w14:textId="77777777" w:rsidR="004810B8" w:rsidRPr="001143BB" w:rsidRDefault="004810B8" w:rsidP="00025990"/>
    <w:p w14:paraId="484A1102" w14:textId="77777777" w:rsidR="00D8240B" w:rsidRPr="001143BB" w:rsidRDefault="004810B8" w:rsidP="00574AC0">
      <w:pPr>
        <w:pStyle w:val="ListParagraph"/>
        <w:numPr>
          <w:ilvl w:val="0"/>
          <w:numId w:val="3"/>
        </w:numPr>
      </w:pPr>
      <w:r w:rsidRPr="001143BB">
        <w:t>The Annual Borrowing Strategy</w:t>
      </w:r>
    </w:p>
    <w:p w14:paraId="5C7B4720" w14:textId="77777777" w:rsidR="00D8240B" w:rsidRPr="001143BB" w:rsidRDefault="00D8240B" w:rsidP="00574AC0">
      <w:pPr>
        <w:pStyle w:val="ListParagraph"/>
        <w:numPr>
          <w:ilvl w:val="0"/>
          <w:numId w:val="3"/>
        </w:numPr>
      </w:pPr>
      <w:r w:rsidRPr="001143BB">
        <w:t>The Council's Policy on Borrowing in Advance of Need</w:t>
      </w:r>
      <w:r w:rsidR="006E328C">
        <w:t xml:space="preserve"> </w:t>
      </w:r>
    </w:p>
    <w:p w14:paraId="006488D2" w14:textId="77777777" w:rsidR="004810B8" w:rsidRDefault="004810B8" w:rsidP="00574AC0">
      <w:pPr>
        <w:pStyle w:val="ListParagraph"/>
        <w:numPr>
          <w:ilvl w:val="0"/>
          <w:numId w:val="3"/>
        </w:numPr>
      </w:pPr>
      <w:r w:rsidRPr="001143BB">
        <w:t>The Annual Investment Strategy</w:t>
      </w:r>
      <w:r w:rsidR="006E328C">
        <w:t xml:space="preserve"> </w:t>
      </w:r>
    </w:p>
    <w:p w14:paraId="2BE18CDF" w14:textId="77777777" w:rsidR="006E328C" w:rsidRPr="001143BB" w:rsidRDefault="006E328C" w:rsidP="00574AC0">
      <w:pPr>
        <w:pStyle w:val="ListParagraph"/>
        <w:numPr>
          <w:ilvl w:val="0"/>
          <w:numId w:val="3"/>
        </w:numPr>
      </w:pPr>
      <w:r>
        <w:t>Policy on Use of Financial Derivatives</w:t>
      </w:r>
    </w:p>
    <w:p w14:paraId="06E623C7" w14:textId="58B2E288" w:rsidR="00D357A7" w:rsidRDefault="00D8240B">
      <w:pPr>
        <w:pStyle w:val="ListParagraph"/>
        <w:numPr>
          <w:ilvl w:val="0"/>
          <w:numId w:val="3"/>
        </w:numPr>
      </w:pPr>
      <w:r w:rsidRPr="001143BB">
        <w:t xml:space="preserve">The Prudential Indicators </w:t>
      </w:r>
      <w:r w:rsidR="00D357A7">
        <w:t xml:space="preserve">(Annex </w:t>
      </w:r>
      <w:r w:rsidR="00186F66">
        <w:t>'</w:t>
      </w:r>
      <w:r w:rsidR="00D357A7">
        <w:t>A</w:t>
      </w:r>
      <w:r w:rsidR="00186F66">
        <w:t>'</w:t>
      </w:r>
      <w:r w:rsidR="00D357A7">
        <w:t xml:space="preserve"> to this Appendix)</w:t>
      </w:r>
    </w:p>
    <w:p w14:paraId="45F74636" w14:textId="3AEA0485" w:rsidR="00D357A7" w:rsidRDefault="00D357A7" w:rsidP="00574AC0">
      <w:pPr>
        <w:pStyle w:val="ListParagraph"/>
        <w:numPr>
          <w:ilvl w:val="0"/>
          <w:numId w:val="3"/>
        </w:numPr>
      </w:pPr>
      <w:r>
        <w:t xml:space="preserve">The Annual MRP statement (Appendix </w:t>
      </w:r>
      <w:r w:rsidR="00186F66">
        <w:t>'</w:t>
      </w:r>
      <w:r>
        <w:t>C</w:t>
      </w:r>
      <w:r w:rsidR="00186F66">
        <w:t>'</w:t>
      </w:r>
      <w:r>
        <w:t xml:space="preserve"> to this report.)</w:t>
      </w:r>
    </w:p>
    <w:p w14:paraId="3A4D52F2" w14:textId="77777777" w:rsidR="004810B8" w:rsidRPr="001143BB" w:rsidRDefault="004810B8" w:rsidP="00025990"/>
    <w:p w14:paraId="4373D2C6" w14:textId="77777777" w:rsidR="0040630B" w:rsidRPr="001143BB" w:rsidRDefault="004810B8" w:rsidP="00D635B5">
      <w:pPr>
        <w:jc w:val="both"/>
      </w:pPr>
      <w:r w:rsidRPr="001143BB">
        <w:t xml:space="preserve">In conjunction with the </w:t>
      </w:r>
      <w:r w:rsidR="004235DB">
        <w:t>t</w:t>
      </w:r>
      <w:r w:rsidRPr="001143BB">
        <w:t xml:space="preserve">reasury </w:t>
      </w:r>
      <w:r w:rsidR="004235DB">
        <w:t>m</w:t>
      </w:r>
      <w:r w:rsidRPr="001143BB">
        <w:t xml:space="preserve">anagement </w:t>
      </w:r>
      <w:r w:rsidR="004235DB">
        <w:t>p</w:t>
      </w:r>
      <w:r w:rsidRPr="001143BB">
        <w:t xml:space="preserve">olicy </w:t>
      </w:r>
      <w:r w:rsidR="004235DB">
        <w:t>s</w:t>
      </w:r>
      <w:r w:rsidRPr="001143BB">
        <w:t xml:space="preserve">tatement and the detailed </w:t>
      </w:r>
      <w:r w:rsidR="004235DB">
        <w:t>t</w:t>
      </w:r>
      <w:r w:rsidRPr="001143BB">
        <w:t xml:space="preserve">reasury </w:t>
      </w:r>
      <w:r w:rsidR="004235DB">
        <w:t>m</w:t>
      </w:r>
      <w:r w:rsidRPr="001143BB">
        <w:t xml:space="preserve">anagement </w:t>
      </w:r>
      <w:r w:rsidR="004235DB">
        <w:t>p</w:t>
      </w:r>
      <w:r w:rsidRPr="001143BB">
        <w:t xml:space="preserve">ractices </w:t>
      </w:r>
      <w:r w:rsidR="002465A9" w:rsidRPr="001143BB">
        <w:t xml:space="preserve">approved </w:t>
      </w:r>
      <w:r w:rsidRPr="001143BB">
        <w:t xml:space="preserve">by the </w:t>
      </w:r>
      <w:r w:rsidR="00301C0B">
        <w:t>section 151 officer</w:t>
      </w:r>
      <w:r w:rsidR="002465A9" w:rsidRPr="001143BB">
        <w:t>,</w:t>
      </w:r>
      <w:r w:rsidRPr="001143BB">
        <w:t xml:space="preserve"> these </w:t>
      </w:r>
      <w:r w:rsidR="008C3C8B" w:rsidRPr="001143BB">
        <w:t>provide</w:t>
      </w:r>
      <w:r w:rsidRPr="001143BB">
        <w:t xml:space="preserve"> the policy framework for the engagement of the </w:t>
      </w:r>
      <w:r w:rsidR="003D6797">
        <w:t>C</w:t>
      </w:r>
      <w:r w:rsidR="00F25AD0">
        <w:t xml:space="preserve">ounty </w:t>
      </w:r>
      <w:r w:rsidR="003D6797">
        <w:t>C</w:t>
      </w:r>
      <w:r w:rsidR="00F25AD0">
        <w:t>ouncil</w:t>
      </w:r>
      <w:r w:rsidRPr="001143BB">
        <w:t xml:space="preserve"> with the financial markets in order to fund its capital investment programme</w:t>
      </w:r>
      <w:r w:rsidR="003D6797">
        <w:t>,</w:t>
      </w:r>
      <w:r w:rsidRPr="001143BB">
        <w:t xml:space="preserve"> maintain the </w:t>
      </w:r>
      <w:r w:rsidR="00382F7B" w:rsidRPr="001143BB">
        <w:t xml:space="preserve">security </w:t>
      </w:r>
      <w:r w:rsidRPr="001143BB">
        <w:t>of its cash balances</w:t>
      </w:r>
      <w:r w:rsidR="003D6797">
        <w:t xml:space="preserve"> and protect them and ultimately the County Council's operations from credit, liquidity, inflation and interest rate risk.</w:t>
      </w:r>
    </w:p>
    <w:p w14:paraId="6EEA2F05" w14:textId="77777777" w:rsidR="0011617A" w:rsidRPr="001143BB" w:rsidRDefault="0011617A" w:rsidP="00025990">
      <w:pPr>
        <w:jc w:val="both"/>
        <w:rPr>
          <w:highlight w:val="yellow"/>
        </w:rPr>
      </w:pPr>
    </w:p>
    <w:p w14:paraId="291AD199" w14:textId="77777777" w:rsidR="007B4EF5" w:rsidRPr="00F861B8" w:rsidRDefault="004A19C1" w:rsidP="00974969">
      <w:pPr>
        <w:pStyle w:val="ListParagraph"/>
        <w:numPr>
          <w:ilvl w:val="0"/>
          <w:numId w:val="36"/>
        </w:numPr>
        <w:rPr>
          <w:b/>
          <w:sz w:val="28"/>
          <w:szCs w:val="28"/>
        </w:rPr>
      </w:pPr>
      <w:r w:rsidRPr="0013604C">
        <w:rPr>
          <w:b/>
          <w:bCs/>
          <w:sz w:val="28"/>
          <w:szCs w:val="28"/>
        </w:rPr>
        <w:t>Strategic</w:t>
      </w:r>
      <w:r w:rsidRPr="0013604C">
        <w:rPr>
          <w:b/>
          <w:sz w:val="28"/>
          <w:szCs w:val="28"/>
        </w:rPr>
        <w:t xml:space="preserve"> Objectives</w:t>
      </w:r>
      <w:r w:rsidR="002D3D61" w:rsidRPr="0013604C">
        <w:rPr>
          <w:b/>
          <w:sz w:val="28"/>
          <w:szCs w:val="28"/>
        </w:rPr>
        <w:t xml:space="preserve"> of the Treasury Management Strategy</w:t>
      </w:r>
    </w:p>
    <w:p w14:paraId="04E79AF3" w14:textId="77777777" w:rsidR="007B4EF5" w:rsidRPr="001143BB" w:rsidRDefault="007B4EF5" w:rsidP="00025990">
      <w:pPr>
        <w:jc w:val="both"/>
      </w:pPr>
    </w:p>
    <w:p w14:paraId="443010E1" w14:textId="77777777" w:rsidR="007B4EF5" w:rsidRPr="001143BB" w:rsidRDefault="007B4EF5" w:rsidP="00025990">
      <w:pPr>
        <w:jc w:val="both"/>
      </w:pPr>
      <w:r w:rsidRPr="001143BB">
        <w:t xml:space="preserve">The </w:t>
      </w:r>
      <w:r w:rsidR="004235DB">
        <w:t>C</w:t>
      </w:r>
      <w:r w:rsidR="00F25AD0">
        <w:t xml:space="preserve">ounty </w:t>
      </w:r>
      <w:r w:rsidR="004235DB">
        <w:t>C</w:t>
      </w:r>
      <w:r w:rsidR="00F25AD0">
        <w:t>ouncil</w:t>
      </w:r>
      <w:r w:rsidRPr="001143BB">
        <w:t xml:space="preserve">'s </w:t>
      </w:r>
      <w:r w:rsidR="004235DB">
        <w:t>t</w:t>
      </w:r>
      <w:r w:rsidRPr="001143BB">
        <w:t xml:space="preserve">reasury </w:t>
      </w:r>
      <w:r w:rsidR="004235DB">
        <w:t>m</w:t>
      </w:r>
      <w:r w:rsidRPr="001143BB">
        <w:t xml:space="preserve">anagement </w:t>
      </w:r>
      <w:r w:rsidR="004235DB">
        <w:t>s</w:t>
      </w:r>
      <w:r w:rsidRPr="001143BB">
        <w:t xml:space="preserve">trategy is </w:t>
      </w:r>
      <w:r w:rsidR="00382F7B" w:rsidRPr="001143BB">
        <w:t xml:space="preserve">designed </w:t>
      </w:r>
      <w:r w:rsidRPr="001143BB">
        <w:t>to achieve the following objectives:</w:t>
      </w:r>
    </w:p>
    <w:p w14:paraId="03044ED9" w14:textId="77777777" w:rsidR="007B4EF5" w:rsidRPr="001143BB" w:rsidRDefault="007B4EF5" w:rsidP="00025990">
      <w:pPr>
        <w:jc w:val="both"/>
      </w:pPr>
    </w:p>
    <w:p w14:paraId="57519CC5" w14:textId="3EBC4419" w:rsidR="007B4EF5" w:rsidRPr="001143BB" w:rsidRDefault="007B4EF5" w:rsidP="00574AC0">
      <w:pPr>
        <w:pStyle w:val="ListParagraph"/>
        <w:numPr>
          <w:ilvl w:val="0"/>
          <w:numId w:val="4"/>
        </w:numPr>
        <w:jc w:val="both"/>
      </w:pPr>
      <w:r w:rsidRPr="001143BB">
        <w:t xml:space="preserve">To ensure the security of the principal sums invested which represent the </w:t>
      </w:r>
      <w:r w:rsidR="004235DB">
        <w:t>C</w:t>
      </w:r>
      <w:r w:rsidR="00F25AD0">
        <w:t xml:space="preserve">ounty </w:t>
      </w:r>
      <w:r w:rsidR="004235DB">
        <w:t>C</w:t>
      </w:r>
      <w:r w:rsidR="00F25AD0">
        <w:t>ouncil</w:t>
      </w:r>
      <w:r w:rsidRPr="001143BB">
        <w:t>'s various reserves and balances</w:t>
      </w:r>
      <w:r w:rsidR="00186F66">
        <w:t>.</w:t>
      </w:r>
    </w:p>
    <w:p w14:paraId="70F80569" w14:textId="578D4E7E" w:rsidR="007B4EF5" w:rsidRPr="001143BB" w:rsidRDefault="007B4EF5" w:rsidP="00574AC0">
      <w:pPr>
        <w:pStyle w:val="ListParagraph"/>
        <w:numPr>
          <w:ilvl w:val="0"/>
          <w:numId w:val="4"/>
        </w:numPr>
        <w:jc w:val="both"/>
      </w:pPr>
      <w:r w:rsidRPr="001143BB">
        <w:t xml:space="preserve">To ensure that the </w:t>
      </w:r>
      <w:r w:rsidR="004235DB">
        <w:t>C</w:t>
      </w:r>
      <w:r w:rsidR="00F25AD0">
        <w:t xml:space="preserve">ounty </w:t>
      </w:r>
      <w:r w:rsidR="004235DB">
        <w:t>C</w:t>
      </w:r>
      <w:r w:rsidR="00F25AD0">
        <w:t>ouncil</w:t>
      </w:r>
      <w:r w:rsidRPr="001143BB">
        <w:t xml:space="preserve"> has access to cash resources as and when required</w:t>
      </w:r>
      <w:r w:rsidR="00186F66">
        <w:t>.</w:t>
      </w:r>
    </w:p>
    <w:p w14:paraId="75F487CD" w14:textId="704EC406" w:rsidR="00800801" w:rsidRPr="0090224E" w:rsidRDefault="00800801" w:rsidP="00800801">
      <w:pPr>
        <w:pStyle w:val="ListParagraph"/>
        <w:numPr>
          <w:ilvl w:val="0"/>
          <w:numId w:val="4"/>
        </w:numPr>
        <w:jc w:val="both"/>
      </w:pPr>
      <w:r w:rsidRPr="0090224E">
        <w:t xml:space="preserve">To minimise the cost of the borrowing required to finance the </w:t>
      </w:r>
      <w:r w:rsidR="004235DB" w:rsidRPr="0090224E">
        <w:t>C</w:t>
      </w:r>
      <w:r w:rsidR="00F25AD0" w:rsidRPr="0090224E">
        <w:t xml:space="preserve">ounty </w:t>
      </w:r>
      <w:r w:rsidR="004235DB" w:rsidRPr="0090224E">
        <w:t>C</w:t>
      </w:r>
      <w:r w:rsidR="00F25AD0" w:rsidRPr="0090224E">
        <w:t>ouncil</w:t>
      </w:r>
      <w:r w:rsidRPr="0090224E">
        <w:t xml:space="preserve">'s </w:t>
      </w:r>
      <w:r w:rsidR="004235DB" w:rsidRPr="0090224E">
        <w:t>c</w:t>
      </w:r>
      <w:r w:rsidRPr="0090224E">
        <w:t xml:space="preserve">apital </w:t>
      </w:r>
      <w:r w:rsidR="004235DB" w:rsidRPr="0090224E">
        <w:t>i</w:t>
      </w:r>
      <w:r w:rsidRPr="0090224E">
        <w:t>nvestment programme, and</w:t>
      </w:r>
      <w:r w:rsidR="00C66288" w:rsidRPr="0090224E">
        <w:t xml:space="preserve"> manage interest </w:t>
      </w:r>
      <w:r w:rsidR="005D2D61">
        <w:t>and</w:t>
      </w:r>
      <w:r w:rsidR="00C66288" w:rsidRPr="0090224E">
        <w:t xml:space="preserve"> inflation</w:t>
      </w:r>
      <w:r w:rsidR="00FD0E3C" w:rsidRPr="0090224E">
        <w:t xml:space="preserve"> rate</w:t>
      </w:r>
      <w:r w:rsidR="00C66288" w:rsidRPr="0090224E">
        <w:t xml:space="preserve"> risks appropriately.</w:t>
      </w:r>
    </w:p>
    <w:p w14:paraId="410AAAA6" w14:textId="77777777" w:rsidR="007B4EF5" w:rsidRDefault="007B4EF5" w:rsidP="00383F1D">
      <w:pPr>
        <w:pStyle w:val="ListParagraph"/>
        <w:numPr>
          <w:ilvl w:val="0"/>
          <w:numId w:val="4"/>
        </w:numPr>
        <w:jc w:val="both"/>
      </w:pPr>
      <w:r w:rsidRPr="001143BB">
        <w:lastRenderedPageBreak/>
        <w:t xml:space="preserve">To </w:t>
      </w:r>
      <w:r w:rsidR="005F7FAC" w:rsidRPr="001143BB">
        <w:t>maximise</w:t>
      </w:r>
      <w:r w:rsidRPr="001143BB">
        <w:t xml:space="preserve"> investment returns commensurate with </w:t>
      </w:r>
      <w:r w:rsidR="005F7FAC" w:rsidRPr="001143BB">
        <w:t xml:space="preserve">the </w:t>
      </w:r>
      <w:r w:rsidR="004235DB">
        <w:t>C</w:t>
      </w:r>
      <w:r w:rsidR="00F25AD0">
        <w:t xml:space="preserve">ounty </w:t>
      </w:r>
      <w:r w:rsidR="004235DB">
        <w:t>C</w:t>
      </w:r>
      <w:r w:rsidR="00F25AD0">
        <w:t>ouncil</w:t>
      </w:r>
      <w:r w:rsidR="005F7FAC" w:rsidRPr="001143BB">
        <w:t xml:space="preserve">'s policy of </w:t>
      </w:r>
      <w:r w:rsidRPr="001143BB">
        <w:t xml:space="preserve">minimising </w:t>
      </w:r>
      <w:r w:rsidR="0011617A" w:rsidRPr="001143BB">
        <w:t>risks to the security of capital and its liquidity position.</w:t>
      </w:r>
    </w:p>
    <w:p w14:paraId="514180CA" w14:textId="77777777" w:rsidR="00C66288" w:rsidRPr="001143BB" w:rsidRDefault="00C66288" w:rsidP="00383F1D">
      <w:pPr>
        <w:pStyle w:val="ListParagraph"/>
        <w:jc w:val="both"/>
      </w:pPr>
    </w:p>
    <w:p w14:paraId="58F6A118" w14:textId="77777777" w:rsidR="00DB40D8" w:rsidRPr="001143BB" w:rsidRDefault="007B4EF5" w:rsidP="00383F1D">
      <w:pPr>
        <w:jc w:val="both"/>
      </w:pPr>
      <w:r w:rsidRPr="00A81D19">
        <w:t>In the context of these objectives it will be the</w:t>
      </w:r>
      <w:r w:rsidR="00F637E1" w:rsidRPr="00A81D19">
        <w:t xml:space="preserve"> </w:t>
      </w:r>
      <w:r w:rsidR="004235DB">
        <w:t>C</w:t>
      </w:r>
      <w:r w:rsidR="00F25AD0">
        <w:t xml:space="preserve">ounty </w:t>
      </w:r>
      <w:r w:rsidR="004235DB">
        <w:t>C</w:t>
      </w:r>
      <w:r w:rsidR="00F25AD0">
        <w:t>ouncil</w:t>
      </w:r>
      <w:r w:rsidRPr="00A81D19">
        <w:t>'s policy to hold as investments a sum as close to the cash value of its balance sheet as possible</w:t>
      </w:r>
      <w:r w:rsidR="00382F7B" w:rsidRPr="00FF698E">
        <w:t>, matching both value and duration as closely as possible</w:t>
      </w:r>
      <w:r w:rsidRPr="00272267">
        <w:t>.</w:t>
      </w:r>
    </w:p>
    <w:p w14:paraId="088EFC26" w14:textId="77777777" w:rsidR="00025990" w:rsidRPr="001143BB" w:rsidRDefault="00025990" w:rsidP="00383F1D">
      <w:pPr>
        <w:rPr>
          <w:highlight w:val="yellow"/>
        </w:rPr>
      </w:pPr>
    </w:p>
    <w:p w14:paraId="706BFCE4" w14:textId="77777777" w:rsidR="0040630B" w:rsidRPr="001143BB" w:rsidRDefault="00D93999" w:rsidP="00383F1D">
      <w:pPr>
        <w:pStyle w:val="ListParagraph"/>
        <w:numPr>
          <w:ilvl w:val="0"/>
          <w:numId w:val="36"/>
        </w:numPr>
        <w:rPr>
          <w:b/>
          <w:bCs/>
          <w:sz w:val="28"/>
          <w:szCs w:val="28"/>
        </w:rPr>
      </w:pPr>
      <w:r w:rsidRPr="001143BB">
        <w:rPr>
          <w:b/>
          <w:bCs/>
          <w:sz w:val="28"/>
          <w:szCs w:val="28"/>
        </w:rPr>
        <w:t xml:space="preserve">Setting the Treasury Management Strategy for </w:t>
      </w:r>
      <w:r w:rsidR="00D357A7" w:rsidRPr="001143BB">
        <w:rPr>
          <w:b/>
          <w:bCs/>
          <w:sz w:val="28"/>
          <w:szCs w:val="28"/>
        </w:rPr>
        <w:t>201</w:t>
      </w:r>
      <w:r w:rsidR="007F444A">
        <w:rPr>
          <w:b/>
          <w:bCs/>
          <w:sz w:val="28"/>
          <w:szCs w:val="28"/>
        </w:rPr>
        <w:t>7</w:t>
      </w:r>
      <w:r w:rsidRPr="001143BB">
        <w:rPr>
          <w:b/>
          <w:bCs/>
          <w:sz w:val="28"/>
          <w:szCs w:val="28"/>
        </w:rPr>
        <w:t>/1</w:t>
      </w:r>
      <w:r w:rsidR="007F444A">
        <w:rPr>
          <w:b/>
          <w:bCs/>
          <w:sz w:val="28"/>
          <w:szCs w:val="28"/>
        </w:rPr>
        <w:t>8</w:t>
      </w:r>
    </w:p>
    <w:p w14:paraId="79D1B4C8" w14:textId="77777777" w:rsidR="0040630B" w:rsidRPr="001143BB" w:rsidRDefault="0040630B" w:rsidP="00383F1D"/>
    <w:p w14:paraId="7D114388" w14:textId="77777777" w:rsidR="00B92DAE" w:rsidRPr="001143BB" w:rsidRDefault="0040630B" w:rsidP="00383F1D">
      <w:pPr>
        <w:jc w:val="both"/>
      </w:pPr>
      <w:r w:rsidRPr="001143BB">
        <w:t xml:space="preserve">In setting the treasury management strategy, the </w:t>
      </w:r>
      <w:r w:rsidR="004235DB">
        <w:t>C</w:t>
      </w:r>
      <w:r w:rsidR="00F25AD0">
        <w:t xml:space="preserve">ounty </w:t>
      </w:r>
      <w:r w:rsidR="004235DB">
        <w:t>C</w:t>
      </w:r>
      <w:r w:rsidR="00F25AD0">
        <w:t>ouncil</w:t>
      </w:r>
      <w:r w:rsidR="00B92DAE" w:rsidRPr="001143BB">
        <w:t xml:space="preserve"> must have regard to the following factors</w:t>
      </w:r>
      <w:r w:rsidR="00A56AE7" w:rsidRPr="001143BB">
        <w:t xml:space="preserve"> which will have a strong influence over the strategy</w:t>
      </w:r>
      <w:r w:rsidR="008C3C8B" w:rsidRPr="001143BB">
        <w:t xml:space="preserve"> adopted</w:t>
      </w:r>
      <w:r w:rsidR="00A56AE7" w:rsidRPr="001143BB">
        <w:t xml:space="preserve">: </w:t>
      </w:r>
    </w:p>
    <w:p w14:paraId="1A58A162" w14:textId="77777777" w:rsidR="00B92DAE" w:rsidRPr="001143BB" w:rsidRDefault="00B92DAE" w:rsidP="00383F1D">
      <w:pPr>
        <w:jc w:val="both"/>
      </w:pPr>
    </w:p>
    <w:p w14:paraId="5533F282" w14:textId="77777777" w:rsidR="00215560" w:rsidRDefault="0040630B" w:rsidP="00383F1D">
      <w:pPr>
        <w:pStyle w:val="ListParagraph"/>
        <w:numPr>
          <w:ilvl w:val="0"/>
          <w:numId w:val="3"/>
        </w:numPr>
        <w:jc w:val="both"/>
      </w:pPr>
      <w:r w:rsidRPr="001143BB">
        <w:t>economic forecasts</w:t>
      </w:r>
      <w:r w:rsidR="00C13688">
        <w:t xml:space="preserve"> – </w:t>
      </w:r>
      <w:r w:rsidR="000C41F4">
        <w:t>the e</w:t>
      </w:r>
      <w:r w:rsidR="00C13688">
        <w:t>conomic and legislative context</w:t>
      </w:r>
    </w:p>
    <w:p w14:paraId="44EB5120" w14:textId="77777777" w:rsidR="00215560" w:rsidRPr="001143BB" w:rsidRDefault="0040630B" w:rsidP="00383F1D">
      <w:pPr>
        <w:pStyle w:val="ListParagraph"/>
        <w:numPr>
          <w:ilvl w:val="0"/>
          <w:numId w:val="3"/>
        </w:numPr>
        <w:jc w:val="both"/>
      </w:pPr>
      <w:r w:rsidRPr="001143BB">
        <w:t xml:space="preserve">the current structure of the </w:t>
      </w:r>
      <w:r w:rsidR="004235DB">
        <w:t>C</w:t>
      </w:r>
      <w:r w:rsidR="00F25AD0">
        <w:t xml:space="preserve">ounty </w:t>
      </w:r>
      <w:r w:rsidR="004235DB">
        <w:t>C</w:t>
      </w:r>
      <w:r w:rsidR="00F25AD0">
        <w:t>ouncil</w:t>
      </w:r>
      <w:r w:rsidR="000A1B41" w:rsidRPr="001143BB">
        <w:t xml:space="preserve">'s </w:t>
      </w:r>
      <w:r w:rsidR="00E140AD" w:rsidRPr="001143BB">
        <w:t xml:space="preserve">investment and </w:t>
      </w:r>
      <w:r w:rsidRPr="001143BB">
        <w:t>debt portfolio</w:t>
      </w:r>
    </w:p>
    <w:p w14:paraId="129401AF" w14:textId="77777777" w:rsidR="00215560" w:rsidRDefault="00E13CB0" w:rsidP="00383F1D">
      <w:pPr>
        <w:pStyle w:val="ListParagraph"/>
        <w:numPr>
          <w:ilvl w:val="0"/>
          <w:numId w:val="3"/>
        </w:numPr>
        <w:jc w:val="both"/>
      </w:pPr>
      <w:r w:rsidRPr="001143BB">
        <w:t>p</w:t>
      </w:r>
      <w:r w:rsidR="0040630B" w:rsidRPr="001143BB">
        <w:t>rospects for interest rates</w:t>
      </w:r>
      <w:r w:rsidR="000A1B41" w:rsidRPr="001143BB">
        <w:t xml:space="preserve"> and</w:t>
      </w:r>
      <w:r w:rsidR="005F7FAC" w:rsidRPr="001143BB">
        <w:t xml:space="preserve"> market liquidity</w:t>
      </w:r>
    </w:p>
    <w:p w14:paraId="53114DDF" w14:textId="77777777" w:rsidR="00651301" w:rsidRPr="001143BB" w:rsidRDefault="00651301" w:rsidP="00D635B5">
      <w:pPr>
        <w:pStyle w:val="ListParagraph"/>
        <w:ind w:left="360"/>
        <w:jc w:val="both"/>
      </w:pPr>
    </w:p>
    <w:p w14:paraId="59E53FCC" w14:textId="77777777" w:rsidR="008E2A12" w:rsidRPr="008E2A12" w:rsidRDefault="00CC3B53" w:rsidP="001A7E13">
      <w:pPr>
        <w:pStyle w:val="ListParagraph"/>
        <w:numPr>
          <w:ilvl w:val="1"/>
          <w:numId w:val="36"/>
        </w:numPr>
        <w:jc w:val="both"/>
        <w:rPr>
          <w:i/>
        </w:rPr>
      </w:pPr>
      <w:r w:rsidRPr="00CC3B53">
        <w:rPr>
          <w:bCs/>
        </w:rPr>
        <w:t>Economic</w:t>
      </w:r>
      <w:r>
        <w:t xml:space="preserve"> Forecast</w:t>
      </w:r>
      <w:r w:rsidR="00AE7891">
        <w:t xml:space="preserve"> </w:t>
      </w:r>
    </w:p>
    <w:p w14:paraId="4ACD6281" w14:textId="77777777" w:rsidR="00540D1B" w:rsidRPr="008E2A12" w:rsidRDefault="00AE7891" w:rsidP="008E2A12">
      <w:pPr>
        <w:jc w:val="both"/>
        <w:rPr>
          <w:i/>
        </w:rPr>
      </w:pPr>
      <w:r>
        <w:t xml:space="preserve">           </w:t>
      </w:r>
    </w:p>
    <w:p w14:paraId="4448D032" w14:textId="77777777" w:rsidR="00D4352A" w:rsidRDefault="00D4352A" w:rsidP="00D4352A">
      <w:pPr>
        <w:jc w:val="both"/>
      </w:pPr>
      <w:r w:rsidRPr="008E2A12">
        <w:t>The major external influence on the Authority’s treasury management strategy for 2017/18 will be the UK’s progress in negotiating a smooth exit from the European Union. Financial markets, wrong-footed by the referendum outcome, have since been weighed down by uncertainty over whether leaving the Union also means leaving the single</w:t>
      </w:r>
      <w:r w:rsidR="00D90815">
        <w:t xml:space="preserve"> m</w:t>
      </w:r>
      <w:r w:rsidRPr="008E2A12">
        <w:t>arket</w:t>
      </w:r>
      <w:r w:rsidR="00D90815">
        <w:t xml:space="preserve">. In January The </w:t>
      </w:r>
      <w:r w:rsidR="00EF4E3C">
        <w:t>Prime Minister</w:t>
      </w:r>
      <w:r w:rsidR="00D90815">
        <w:t xml:space="preserve"> made a speech</w:t>
      </w:r>
      <w:r w:rsidR="00EF4E3C">
        <w:t xml:space="preserve"> indicat</w:t>
      </w:r>
      <w:r w:rsidR="00D90815">
        <w:t>ing th</w:t>
      </w:r>
      <w:r w:rsidR="00D90815" w:rsidRPr="00D90815">
        <w:t>at</w:t>
      </w:r>
      <w:r w:rsidR="00D90815">
        <w:t xml:space="preserve"> </w:t>
      </w:r>
      <w:r w:rsidR="00D90815" w:rsidRPr="00D90815">
        <w:t>Brexit</w:t>
      </w:r>
      <w:r w:rsidR="00D90815">
        <w:t xml:space="preserve"> </w:t>
      </w:r>
      <w:r w:rsidR="00D90815" w:rsidRPr="00D90815">
        <w:t>means</w:t>
      </w:r>
      <w:r w:rsidR="00D90815">
        <w:t xml:space="preserve"> an </w:t>
      </w:r>
      <w:r w:rsidR="00D90815" w:rsidRPr="00D90815">
        <w:t>exit</w:t>
      </w:r>
      <w:r w:rsidR="00D90815">
        <w:t xml:space="preserve"> </w:t>
      </w:r>
      <w:r w:rsidR="00D90815" w:rsidRPr="00D90815">
        <w:t>from</w:t>
      </w:r>
      <w:r w:rsidR="00D90815">
        <w:t xml:space="preserve"> </w:t>
      </w:r>
      <w:r w:rsidR="00D90815" w:rsidRPr="00D90815">
        <w:t>the</w:t>
      </w:r>
      <w:r w:rsidR="00D90815">
        <w:t xml:space="preserve"> </w:t>
      </w:r>
      <w:r w:rsidR="00D90815" w:rsidRPr="00D90815">
        <w:t>Single</w:t>
      </w:r>
      <w:r w:rsidR="00D90815">
        <w:t xml:space="preserve"> </w:t>
      </w:r>
      <w:r w:rsidR="00D90815" w:rsidRPr="00D90815">
        <w:t>Market</w:t>
      </w:r>
      <w:r w:rsidR="00D90815">
        <w:t xml:space="preserve"> </w:t>
      </w:r>
      <w:r w:rsidR="00D90815" w:rsidRPr="00D90815">
        <w:t>and</w:t>
      </w:r>
      <w:r w:rsidR="00D90815">
        <w:t xml:space="preserve"> </w:t>
      </w:r>
      <w:r w:rsidR="00D90815" w:rsidRPr="00D90815">
        <w:t>the</w:t>
      </w:r>
      <w:r w:rsidR="00D90815">
        <w:t xml:space="preserve"> </w:t>
      </w:r>
      <w:r w:rsidR="00D90815" w:rsidRPr="00D90815">
        <w:t>Customs</w:t>
      </w:r>
      <w:r w:rsidR="00D90815">
        <w:t xml:space="preserve"> </w:t>
      </w:r>
      <w:r w:rsidR="00D90815" w:rsidRPr="00D90815">
        <w:t>Union</w:t>
      </w:r>
      <w:r w:rsidR="00D90815">
        <w:t xml:space="preserve"> however </w:t>
      </w:r>
      <w:r w:rsidR="00D90815" w:rsidRPr="00D90815">
        <w:t>the</w:t>
      </w:r>
      <w:r w:rsidR="00D90815">
        <w:t xml:space="preserve"> </w:t>
      </w:r>
      <w:r w:rsidR="00D90815" w:rsidRPr="00D90815">
        <w:t>government</w:t>
      </w:r>
      <w:r w:rsidR="00D90815">
        <w:t xml:space="preserve"> </w:t>
      </w:r>
      <w:r w:rsidR="00D90815" w:rsidRPr="00D90815">
        <w:t>will</w:t>
      </w:r>
      <w:r w:rsidR="00D90815">
        <w:t xml:space="preserve"> </w:t>
      </w:r>
      <w:r w:rsidR="00D90815" w:rsidRPr="00D90815">
        <w:t>seek</w:t>
      </w:r>
      <w:r w:rsidR="00D90815">
        <w:t xml:space="preserve"> </w:t>
      </w:r>
      <w:r w:rsidR="00D90815" w:rsidRPr="00D90815">
        <w:t>a</w:t>
      </w:r>
      <w:r w:rsidR="00D90815">
        <w:t xml:space="preserve"> </w:t>
      </w:r>
      <w:r w:rsidR="00D90815" w:rsidRPr="00D90815">
        <w:t>trade</w:t>
      </w:r>
      <w:r w:rsidR="00D90815">
        <w:t xml:space="preserve"> </w:t>
      </w:r>
      <w:r w:rsidR="00D90815" w:rsidRPr="00D90815">
        <w:t>deal</w:t>
      </w:r>
      <w:r w:rsidR="00D90815">
        <w:t xml:space="preserve"> </w:t>
      </w:r>
      <w:r w:rsidR="00D90815" w:rsidRPr="00D90815">
        <w:t>with</w:t>
      </w:r>
      <w:r w:rsidR="00D90815">
        <w:t xml:space="preserve"> </w:t>
      </w:r>
      <w:r w:rsidR="00D90815" w:rsidRPr="00D90815">
        <w:t>the</w:t>
      </w:r>
      <w:r w:rsidR="00D90815">
        <w:t xml:space="preserve"> </w:t>
      </w:r>
      <w:r w:rsidR="00D90815" w:rsidRPr="00D90815">
        <w:t>EU</w:t>
      </w:r>
      <w:r w:rsidR="00D90815">
        <w:t xml:space="preserve"> </w:t>
      </w:r>
      <w:r w:rsidR="00D90815" w:rsidRPr="00D90815">
        <w:t>for</w:t>
      </w:r>
      <w:r w:rsidR="00D90815">
        <w:t xml:space="preserve"> </w:t>
      </w:r>
      <w:r w:rsidR="00D90815" w:rsidRPr="00D90815">
        <w:t>the</w:t>
      </w:r>
      <w:r w:rsidR="00D90815">
        <w:t xml:space="preserve"> </w:t>
      </w:r>
      <w:r w:rsidR="00D90815" w:rsidRPr="00D90815">
        <w:t>greatest</w:t>
      </w:r>
      <w:r w:rsidR="00D90815">
        <w:t xml:space="preserve"> </w:t>
      </w:r>
      <w:r w:rsidR="00D90815" w:rsidRPr="00D90815">
        <w:t>possible</w:t>
      </w:r>
      <w:r w:rsidR="00D90815">
        <w:t xml:space="preserve"> </w:t>
      </w:r>
      <w:r w:rsidR="00D90815" w:rsidRPr="00D90815">
        <w:t>access</w:t>
      </w:r>
      <w:r w:rsidR="00D90815">
        <w:t xml:space="preserve"> </w:t>
      </w:r>
      <w:r w:rsidR="00D90815" w:rsidRPr="00D90815">
        <w:t>with</w:t>
      </w:r>
      <w:r w:rsidR="00D90815">
        <w:t xml:space="preserve"> </w:t>
      </w:r>
      <w:r w:rsidR="00D90815" w:rsidRPr="00D90815">
        <w:t>full</w:t>
      </w:r>
      <w:r w:rsidR="00D90815">
        <w:t xml:space="preserve"> </w:t>
      </w:r>
      <w:r w:rsidR="00D90815" w:rsidRPr="00D90815">
        <w:t>reciprocity</w:t>
      </w:r>
      <w:r w:rsidRPr="008E2A12">
        <w:t>.  Negotiations are expected to start once the UK formally triggers exit in early 2017 and last for at least two years. Uncertainty over future economic prospects will therefore remain throughout 2017/18.</w:t>
      </w:r>
    </w:p>
    <w:p w14:paraId="3867E621" w14:textId="77777777" w:rsidR="00EF4E3C" w:rsidRPr="008E2A12" w:rsidRDefault="00EF4E3C" w:rsidP="00D4352A">
      <w:pPr>
        <w:jc w:val="both"/>
      </w:pPr>
    </w:p>
    <w:p w14:paraId="04F46346" w14:textId="716ADDDF" w:rsidR="00D4352A" w:rsidRDefault="00D4352A" w:rsidP="00D4352A">
      <w:pPr>
        <w:jc w:val="both"/>
      </w:pPr>
      <w:r w:rsidRPr="008E2A12">
        <w:t xml:space="preserve">The fall and continuing weakness in sterling and the near doubling in the price of oil in 2016 have combined to drive </w:t>
      </w:r>
      <w:r w:rsidR="00186F66">
        <w:t xml:space="preserve">inflation expectations higher. </w:t>
      </w:r>
      <w:r w:rsidRPr="008E2A12">
        <w:t>The Bank of England is forecasting that Consumer Price Inflation will breach its 2% target in 2017, the first time since late 2013</w:t>
      </w:r>
      <w:r w:rsidR="001A7E13" w:rsidRPr="008E2A12">
        <w:t>. However</w:t>
      </w:r>
      <w:r w:rsidRPr="008E2A12">
        <w:t xml:space="preserve"> the Bank is expected </w:t>
      </w:r>
      <w:r w:rsidR="001A7E13" w:rsidRPr="008E2A12">
        <w:t>see this as a temporary impact</w:t>
      </w:r>
      <w:r w:rsidR="00EF4E3C">
        <w:t xml:space="preserve"> of the falling currency</w:t>
      </w:r>
      <w:r w:rsidR="00046835" w:rsidRPr="008E2A12">
        <w:t>.</w:t>
      </w:r>
      <w:r w:rsidRPr="008E2A12">
        <w:t xml:space="preserve"> </w:t>
      </w:r>
      <w:r w:rsidR="00046835" w:rsidRPr="008E2A12">
        <w:t xml:space="preserve">Therefore the </w:t>
      </w:r>
      <w:r w:rsidRPr="008E2A12">
        <w:t xml:space="preserve">inflation overshoots </w:t>
      </w:r>
      <w:r w:rsidR="00046835" w:rsidRPr="008E2A12">
        <w:t>during</w:t>
      </w:r>
      <w:r w:rsidRPr="008E2A12">
        <w:t xml:space="preserve"> 2017 </w:t>
      </w:r>
      <w:r w:rsidR="00046835" w:rsidRPr="008E2A12">
        <w:t>are unlikely to result in an increase in</w:t>
      </w:r>
      <w:r w:rsidRPr="008E2A12">
        <w:t xml:space="preserve"> interest rates so as to avoid derailing the economy.</w:t>
      </w:r>
    </w:p>
    <w:p w14:paraId="2E911B65" w14:textId="77777777" w:rsidR="00EF4E3C" w:rsidRPr="008E2A12" w:rsidRDefault="00EF4E3C" w:rsidP="00D4352A">
      <w:pPr>
        <w:jc w:val="both"/>
      </w:pPr>
    </w:p>
    <w:p w14:paraId="0FD4B68E" w14:textId="0A67C3B8" w:rsidR="00D4352A" w:rsidRDefault="00D4352A" w:rsidP="00D4352A">
      <w:pPr>
        <w:jc w:val="both"/>
      </w:pPr>
      <w:r w:rsidRPr="008E2A12">
        <w:t xml:space="preserve">Initial post-referendum economic data showed that the feared collapse in business and consumer confidence had not immediately led to lower GDP growth. However, the prospect of leaving the single market has dented business confidence and resulted in a delay in new business investment and, unless counteracted by higher public spending or retail sales, will weaken economic growth in 2017/18.  </w:t>
      </w:r>
    </w:p>
    <w:p w14:paraId="6E6C1649" w14:textId="77777777" w:rsidR="00EF4E3C" w:rsidRPr="008E2A12" w:rsidRDefault="00EF4E3C" w:rsidP="00D4352A">
      <w:pPr>
        <w:jc w:val="both"/>
      </w:pPr>
    </w:p>
    <w:p w14:paraId="439FF145" w14:textId="77777777" w:rsidR="00D4352A" w:rsidRPr="008E2A12" w:rsidRDefault="00D4352A" w:rsidP="00D4352A">
      <w:pPr>
        <w:jc w:val="both"/>
      </w:pPr>
      <w:r w:rsidRPr="008E2A12">
        <w:t xml:space="preserve">Looking overseas, with the US economy and its labour market showing steady improvement, </w:t>
      </w:r>
      <w:r w:rsidRPr="00142F1A">
        <w:t>the market has priced in a high probability of the Federal Reserve increasing interest rates</w:t>
      </w:r>
      <w:r w:rsidR="00142F1A">
        <w:t>. I</w:t>
      </w:r>
      <w:r w:rsidRPr="00142F1A">
        <w:t>n December</w:t>
      </w:r>
      <w:r w:rsidR="00142F1A">
        <w:t xml:space="preserve"> 2016 The </w:t>
      </w:r>
      <w:r w:rsidR="00142F1A" w:rsidRPr="00142F1A">
        <w:t>Federal Open Market Committee (FOMC) of the US Federal Reserve</w:t>
      </w:r>
      <w:r w:rsidR="00142F1A">
        <w:t xml:space="preserve"> </w:t>
      </w:r>
      <w:r w:rsidR="00142F1A" w:rsidRPr="00142F1A">
        <w:t>increas</w:t>
      </w:r>
      <w:r w:rsidR="00142F1A">
        <w:t>ed</w:t>
      </w:r>
      <w:r w:rsidR="00142F1A" w:rsidRPr="00142F1A">
        <w:t xml:space="preserve"> the target range for official interest rates. The range was increased to between 0.5%</w:t>
      </w:r>
      <w:r w:rsidR="00142F1A">
        <w:t xml:space="preserve"> </w:t>
      </w:r>
      <w:r w:rsidR="00142F1A" w:rsidRPr="00142F1A">
        <w:t>and 0.75%, from 0.25%</w:t>
      </w:r>
      <w:r w:rsidR="00142F1A">
        <w:t xml:space="preserve"> </w:t>
      </w:r>
      <w:r w:rsidR="00142F1A" w:rsidRPr="00142F1A">
        <w:t>and</w:t>
      </w:r>
      <w:r w:rsidR="00142F1A">
        <w:t xml:space="preserve"> </w:t>
      </w:r>
      <w:r w:rsidR="00142F1A" w:rsidRPr="00142F1A">
        <w:t>0.5%</w:t>
      </w:r>
      <w:r w:rsidR="00142F1A">
        <w:t xml:space="preserve">.   </w:t>
      </w:r>
      <w:r w:rsidRPr="008E2A12">
        <w:t xml:space="preserve"> The Eurozone meanwhile has continued to struggle with very low inflation and lack of momentum in growth, and the European Central Bank has left the door open for further quantitative easing.</w:t>
      </w:r>
    </w:p>
    <w:p w14:paraId="69F7BC8E" w14:textId="45B06635" w:rsidR="008E2A12" w:rsidRDefault="00D4352A" w:rsidP="00D4352A">
      <w:pPr>
        <w:jc w:val="both"/>
      </w:pPr>
      <w:r w:rsidRPr="008E2A12">
        <w:lastRenderedPageBreak/>
        <w:t xml:space="preserve">The impact of political risk on financial markets remains significant over the next year.  </w:t>
      </w:r>
      <w:r w:rsidR="0004267C">
        <w:t>C</w:t>
      </w:r>
      <w:r w:rsidRPr="008E2A12">
        <w:t>hallenges such as immigration, the rise of populist, anti-establishment parties</w:t>
      </w:r>
      <w:r w:rsidR="0004267C">
        <w:t xml:space="preserve"> seem to exist. During </w:t>
      </w:r>
      <w:r w:rsidRPr="008E2A12">
        <w:t xml:space="preserve">  the </w:t>
      </w:r>
      <w:r w:rsidR="0004267C">
        <w:t xml:space="preserve">year </w:t>
      </w:r>
      <w:r w:rsidRPr="008E2A12">
        <w:t>French presidential and general elections (April – June 2017) and the German federal elections (August – October 2017) have the potential for upsets.</w:t>
      </w:r>
    </w:p>
    <w:p w14:paraId="60098148" w14:textId="77777777" w:rsidR="00D4352A" w:rsidRPr="008E2A12" w:rsidRDefault="00D4352A" w:rsidP="00D4352A">
      <w:pPr>
        <w:jc w:val="both"/>
        <w:rPr>
          <w:highlight w:val="yellow"/>
        </w:rPr>
      </w:pPr>
      <w:r w:rsidRPr="008E2A12">
        <w:rPr>
          <w:highlight w:val="yellow"/>
        </w:rPr>
        <w:t xml:space="preserve">  </w:t>
      </w:r>
    </w:p>
    <w:p w14:paraId="67B17DFF" w14:textId="77777777" w:rsidR="00EF4E3C" w:rsidRDefault="00D4352A" w:rsidP="00D4352A">
      <w:pPr>
        <w:jc w:val="both"/>
        <w:rPr>
          <w:i/>
        </w:rPr>
      </w:pPr>
      <w:r w:rsidRPr="008E2A12">
        <w:rPr>
          <w:i/>
        </w:rPr>
        <w:t xml:space="preserve">Credit outlook </w:t>
      </w:r>
    </w:p>
    <w:p w14:paraId="1F3B8D7C" w14:textId="77777777" w:rsidR="00EF4E3C" w:rsidRDefault="00EF4E3C" w:rsidP="00D4352A">
      <w:pPr>
        <w:jc w:val="both"/>
        <w:rPr>
          <w:i/>
        </w:rPr>
      </w:pPr>
    </w:p>
    <w:p w14:paraId="4AAF8C76" w14:textId="77777777" w:rsidR="00D4352A" w:rsidRPr="008E2A12" w:rsidRDefault="00D4352A" w:rsidP="00D4352A">
      <w:pPr>
        <w:jc w:val="both"/>
        <w:rPr>
          <w:i/>
        </w:rPr>
      </w:pPr>
      <w:r w:rsidRPr="00EF4E3C">
        <w:t>Markets have expressed concern over the financial viability of a number of European banks recently. Sluggish economies and continuing fines for pre-crisis behaviour have weighed on bank profits, and any future slowdown will exacerbate concerns in this regard</w:t>
      </w:r>
      <w:r w:rsidRPr="008E2A12">
        <w:rPr>
          <w:i/>
        </w:rPr>
        <w:t>.</w:t>
      </w:r>
    </w:p>
    <w:p w14:paraId="4BAC7078" w14:textId="77777777" w:rsidR="0072545C" w:rsidRPr="00D635B5" w:rsidRDefault="0072545C" w:rsidP="00974969">
      <w:pPr>
        <w:autoSpaceDE w:val="0"/>
        <w:autoSpaceDN w:val="0"/>
        <w:adjustRightInd w:val="0"/>
        <w:rPr>
          <w:color w:val="000000" w:themeColor="text1"/>
          <w:lang w:eastAsia="en-US"/>
        </w:rPr>
      </w:pPr>
    </w:p>
    <w:p w14:paraId="3163911F" w14:textId="77777777" w:rsidR="00AD0D79" w:rsidRDefault="00C13688" w:rsidP="00AD0D79">
      <w:pPr>
        <w:jc w:val="both"/>
        <w:rPr>
          <w:i/>
        </w:rPr>
      </w:pPr>
      <w:r w:rsidRPr="00D635B5">
        <w:rPr>
          <w:i/>
        </w:rPr>
        <w:t>Legislative</w:t>
      </w:r>
      <w:r w:rsidR="00AD0D79" w:rsidRPr="00D635B5">
        <w:rPr>
          <w:i/>
        </w:rPr>
        <w:t xml:space="preserve"> </w:t>
      </w:r>
      <w:r w:rsidRPr="00D635B5">
        <w:rPr>
          <w:i/>
        </w:rPr>
        <w:t>Context</w:t>
      </w:r>
    </w:p>
    <w:p w14:paraId="53C330D2" w14:textId="77777777" w:rsidR="0072545C" w:rsidRDefault="0072545C" w:rsidP="00AD0D79">
      <w:pPr>
        <w:jc w:val="both"/>
        <w:rPr>
          <w:i/>
        </w:rPr>
      </w:pPr>
    </w:p>
    <w:p w14:paraId="0234CAF9" w14:textId="56F7579D" w:rsidR="00AE7891" w:rsidRPr="0072545C" w:rsidRDefault="00AE7891" w:rsidP="009A2617">
      <w:pPr>
        <w:pStyle w:val="ListParagraph"/>
        <w:ind w:left="0"/>
        <w:contextualSpacing w:val="0"/>
        <w:jc w:val="both"/>
      </w:pPr>
      <w:r w:rsidRPr="008E2A12">
        <w:t>Bail-in legislation, which ensures that large investors including local authorities will rescue failing banks instead of taxpayers in the future, has now been fully implemented in the European Union, Switzerland and USA, while Australia and Canada are progressing with their own plans. The credit risk associated with making unsecured bank deposits has therefore increased relative to the risk of other investment options available to the Authority</w:t>
      </w:r>
      <w:r w:rsidR="005A49A7">
        <w:t xml:space="preserve"> with</w:t>
      </w:r>
      <w:r w:rsidRPr="008E2A12">
        <w:t xml:space="preserve"> returns from cash deposits continu</w:t>
      </w:r>
      <w:r w:rsidR="005A49A7">
        <w:t>ing</w:t>
      </w:r>
      <w:r w:rsidRPr="008E2A12">
        <w:t xml:space="preserve"> to fall.</w:t>
      </w:r>
    </w:p>
    <w:p w14:paraId="54A724E2" w14:textId="77777777" w:rsidR="00383F1D" w:rsidRPr="001143BB" w:rsidRDefault="00383F1D" w:rsidP="0040630B">
      <w:pPr>
        <w:jc w:val="both"/>
        <w:rPr>
          <w:highlight w:val="yellow"/>
        </w:rPr>
      </w:pPr>
    </w:p>
    <w:p w14:paraId="2B3EDD2D" w14:textId="2BCEB078" w:rsidR="00860C00" w:rsidRPr="00EF4E3C" w:rsidRDefault="004A19C1" w:rsidP="0040630B">
      <w:pPr>
        <w:jc w:val="both"/>
        <w:rPr>
          <w:i/>
        </w:rPr>
      </w:pPr>
      <w:r w:rsidRPr="00EF4E3C">
        <w:rPr>
          <w:i/>
        </w:rPr>
        <w:t>Prospects for Interest Rates and Market Liquidity</w:t>
      </w:r>
    </w:p>
    <w:p w14:paraId="25B7D07B" w14:textId="77777777" w:rsidR="0040630B" w:rsidRPr="00E15A53" w:rsidRDefault="0040630B" w:rsidP="0040630B">
      <w:pPr>
        <w:jc w:val="both"/>
      </w:pPr>
    </w:p>
    <w:p w14:paraId="17C5BCF4" w14:textId="77777777" w:rsidR="00AE7891" w:rsidRDefault="00AE7891" w:rsidP="00EB48D7">
      <w:pPr>
        <w:pStyle w:val="ListParagraph"/>
        <w:ind w:left="0"/>
        <w:jc w:val="both"/>
      </w:pPr>
      <w:r w:rsidRPr="008E2A12">
        <w:t>The Authority’s treasury adviser Arlingclose</w:t>
      </w:r>
      <w:r w:rsidR="00AF1480">
        <w:t>'</w:t>
      </w:r>
      <w:r w:rsidRPr="008E2A12">
        <w:t>s central case is for UK Bank Rate to remain at 0.25% during 2017/18. The Bank of England has highlighted that excessive levels of inflation will not be tolerated for sustained periods. Given this view and the current inflation outlook, further falls in the Bank Rate look less likely. Negative Bank Rate is currently perceived by some policymakers to be counterproductive but, although a low probability, cannot be entirely ruled out in the medium term, particularly if the UK enters recession.</w:t>
      </w:r>
    </w:p>
    <w:p w14:paraId="17EE8DF2" w14:textId="77777777" w:rsidR="008E2A12" w:rsidRPr="008E2A12" w:rsidRDefault="008E2A12" w:rsidP="00EB48D7">
      <w:pPr>
        <w:pStyle w:val="ListParagraph"/>
        <w:ind w:left="0"/>
        <w:jc w:val="both"/>
      </w:pPr>
    </w:p>
    <w:p w14:paraId="35C84452" w14:textId="3354BA32" w:rsidR="00AE7891" w:rsidRDefault="00AE7891" w:rsidP="008E2A12">
      <w:pPr>
        <w:pStyle w:val="ListParagraph"/>
        <w:ind w:left="0"/>
        <w:jc w:val="both"/>
      </w:pPr>
      <w:r w:rsidRPr="008E2A12">
        <w:t>Gilt yields have risen sharply, but remain at low levels. The Arlingclose central case</w:t>
      </w:r>
      <w:r w:rsidR="0004267C">
        <w:t xml:space="preserve"> on Gilts </w:t>
      </w:r>
      <w:r w:rsidRPr="008E2A12">
        <w:t>is for yields to decline when the government triggers Article 50.  Long-term economic fundamentals remain weak, and the quantitative easing (QE) stimulus provided by central banks globally has only delayed the fallout from the build-up of public and private sector debt.  The Bank of England has defended QE as a monetary policy tool, and further QE in support of the UK economy in 2017/18 remains a distinct possibility, to keep long-term interest rates low.</w:t>
      </w:r>
    </w:p>
    <w:p w14:paraId="489BA37D" w14:textId="77777777" w:rsidR="00EB48D7" w:rsidRDefault="00EB48D7" w:rsidP="00AE7891">
      <w:pPr>
        <w:pStyle w:val="ListParagraph"/>
        <w:ind w:left="284"/>
        <w:jc w:val="both"/>
      </w:pPr>
    </w:p>
    <w:p w14:paraId="15DBD4A5" w14:textId="77777777" w:rsidR="00EB48D7" w:rsidRPr="00664574" w:rsidRDefault="00EB48D7" w:rsidP="00EB48D7">
      <w:pPr>
        <w:jc w:val="both"/>
      </w:pPr>
      <w:r w:rsidRPr="00664574">
        <w:t>3.</w:t>
      </w:r>
      <w:r>
        <w:t>2</w:t>
      </w:r>
      <w:r w:rsidRPr="00664574">
        <w:t xml:space="preserve"> The Current Structure of the Portfolio</w:t>
      </w:r>
    </w:p>
    <w:p w14:paraId="2D797670" w14:textId="77777777" w:rsidR="00EB48D7" w:rsidRPr="001143BB" w:rsidRDefault="00EB48D7" w:rsidP="00EB48D7">
      <w:pPr>
        <w:jc w:val="both"/>
        <w:rPr>
          <w:highlight w:val="yellow"/>
        </w:rPr>
      </w:pPr>
    </w:p>
    <w:p w14:paraId="27C17EE1" w14:textId="77777777" w:rsidR="00EB48D7" w:rsidRDefault="00EB48D7" w:rsidP="00EB48D7">
      <w:pPr>
        <w:jc w:val="both"/>
      </w:pPr>
      <w:r>
        <w:t>The Council’s treasury portfolio (net of transferred debt) as at 31</w:t>
      </w:r>
      <w:r>
        <w:rPr>
          <w:vertAlign w:val="superscript"/>
        </w:rPr>
        <w:t>st</w:t>
      </w:r>
      <w:r>
        <w:t xml:space="preserve"> </w:t>
      </w:r>
      <w:r w:rsidRPr="00BF0506">
        <w:t>December 201</w:t>
      </w:r>
      <w:r>
        <w:t xml:space="preserve">6 was as follows. </w:t>
      </w:r>
    </w:p>
    <w:p w14:paraId="2FAAEE7A" w14:textId="77777777" w:rsidR="00442D01" w:rsidRDefault="00442D01" w:rsidP="00EB48D7">
      <w:pPr>
        <w:jc w:val="both"/>
      </w:pPr>
    </w:p>
    <w:p w14:paraId="4B8B7B3D" w14:textId="77777777" w:rsidR="00442D01" w:rsidRDefault="00442D01" w:rsidP="00EB48D7">
      <w:pPr>
        <w:jc w:val="both"/>
      </w:pPr>
    </w:p>
    <w:p w14:paraId="4103A07D" w14:textId="77777777" w:rsidR="00442D01" w:rsidRDefault="00442D01" w:rsidP="00EB48D7">
      <w:pPr>
        <w:jc w:val="both"/>
      </w:pPr>
    </w:p>
    <w:p w14:paraId="5477D865" w14:textId="77777777" w:rsidR="00186F66" w:rsidRDefault="00186F66" w:rsidP="00EB48D7">
      <w:pPr>
        <w:jc w:val="both"/>
      </w:pPr>
    </w:p>
    <w:p w14:paraId="14B5786E" w14:textId="77777777" w:rsidR="00186F66" w:rsidRDefault="00186F66" w:rsidP="00EB48D7">
      <w:pPr>
        <w:jc w:val="both"/>
      </w:pPr>
    </w:p>
    <w:p w14:paraId="75640EEE" w14:textId="77777777" w:rsidR="00194D26" w:rsidRDefault="00194D26" w:rsidP="00EB48D7">
      <w:pPr>
        <w:jc w:val="both"/>
      </w:pPr>
    </w:p>
    <w:p w14:paraId="1A9DC5E9" w14:textId="539BBD25" w:rsidR="00194D26" w:rsidRDefault="00820C99" w:rsidP="00EB48D7">
      <w:pPr>
        <w:jc w:val="both"/>
      </w:pPr>
      <w:r>
        <w:t>Table 1 Treasury Portfolio as at 31 December 2016</w:t>
      </w:r>
    </w:p>
    <w:p w14:paraId="4330A045" w14:textId="77777777" w:rsidR="00442D01" w:rsidRDefault="00442D01" w:rsidP="00EB48D7">
      <w:pPr>
        <w:jc w:val="both"/>
      </w:pPr>
    </w:p>
    <w:p w14:paraId="3B814E22" w14:textId="77777777" w:rsidR="00442D01" w:rsidRDefault="00442D01" w:rsidP="00EB48D7">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565"/>
        <w:gridCol w:w="2126"/>
        <w:gridCol w:w="1407"/>
      </w:tblGrid>
      <w:tr w:rsidR="00EB48D7" w14:paraId="49392594" w14:textId="77777777" w:rsidTr="00B76AC1">
        <w:tc>
          <w:tcPr>
            <w:tcW w:w="1971" w:type="dxa"/>
            <w:tcBorders>
              <w:top w:val="single" w:sz="4" w:space="0" w:color="auto"/>
              <w:left w:val="single" w:sz="4" w:space="0" w:color="auto"/>
              <w:bottom w:val="single" w:sz="4" w:space="0" w:color="auto"/>
              <w:right w:val="nil"/>
            </w:tcBorders>
            <w:shd w:val="clear" w:color="auto" w:fill="C0C0C0"/>
          </w:tcPr>
          <w:p w14:paraId="76520846" w14:textId="77777777" w:rsidR="00EB48D7" w:rsidRDefault="00EB48D7" w:rsidP="00520F95">
            <w:pPr>
              <w:spacing w:line="256" w:lineRule="auto"/>
              <w:jc w:val="both"/>
              <w:rPr>
                <w:lang w:eastAsia="en-US"/>
              </w:rPr>
            </w:pPr>
          </w:p>
        </w:tc>
        <w:tc>
          <w:tcPr>
            <w:tcW w:w="2565" w:type="dxa"/>
            <w:tcBorders>
              <w:top w:val="single" w:sz="4" w:space="0" w:color="auto"/>
              <w:left w:val="nil"/>
              <w:bottom w:val="single" w:sz="4" w:space="0" w:color="auto"/>
              <w:right w:val="single" w:sz="4" w:space="0" w:color="auto"/>
            </w:tcBorders>
            <w:shd w:val="clear" w:color="auto" w:fill="C0C0C0"/>
          </w:tcPr>
          <w:p w14:paraId="441451C7" w14:textId="77777777" w:rsidR="00EB48D7" w:rsidRDefault="00EB48D7" w:rsidP="00520F95">
            <w:pPr>
              <w:spacing w:line="256" w:lineRule="auto"/>
              <w:jc w:val="both"/>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14:paraId="5A920BF1" w14:textId="77777777" w:rsidR="00EB48D7" w:rsidRDefault="00EB48D7" w:rsidP="00520F95">
            <w:pPr>
              <w:spacing w:line="256" w:lineRule="auto"/>
              <w:jc w:val="center"/>
              <w:rPr>
                <w:lang w:eastAsia="en-US"/>
              </w:rPr>
            </w:pPr>
            <w:r>
              <w:rPr>
                <w:lang w:eastAsia="en-US"/>
              </w:rPr>
              <w:t>Principal Amount</w:t>
            </w:r>
          </w:p>
          <w:p w14:paraId="2FE115C9" w14:textId="77777777" w:rsidR="00EB48D7" w:rsidRDefault="00EB48D7" w:rsidP="00520F95">
            <w:pPr>
              <w:spacing w:line="256" w:lineRule="auto"/>
              <w:jc w:val="center"/>
              <w:rPr>
                <w:lang w:eastAsia="en-US"/>
              </w:rPr>
            </w:pPr>
            <w:r>
              <w:rPr>
                <w:lang w:eastAsia="en-US"/>
              </w:rPr>
              <w:t xml:space="preserve"> £m</w:t>
            </w:r>
          </w:p>
        </w:tc>
        <w:tc>
          <w:tcPr>
            <w:tcW w:w="1407" w:type="dxa"/>
            <w:tcBorders>
              <w:top w:val="single" w:sz="4" w:space="0" w:color="auto"/>
              <w:left w:val="single" w:sz="4" w:space="0" w:color="auto"/>
              <w:bottom w:val="single" w:sz="4" w:space="0" w:color="auto"/>
              <w:right w:val="single" w:sz="4" w:space="0" w:color="auto"/>
            </w:tcBorders>
            <w:shd w:val="clear" w:color="auto" w:fill="C0C0C0"/>
            <w:hideMark/>
          </w:tcPr>
          <w:p w14:paraId="690D95CF" w14:textId="77777777" w:rsidR="00EB48D7" w:rsidRDefault="00EB48D7" w:rsidP="00520F95">
            <w:pPr>
              <w:spacing w:line="256" w:lineRule="auto"/>
              <w:jc w:val="center"/>
              <w:rPr>
                <w:lang w:eastAsia="en-US"/>
              </w:rPr>
            </w:pPr>
            <w:r>
              <w:rPr>
                <w:lang w:eastAsia="en-US"/>
              </w:rPr>
              <w:t>Current Interest Rate %</w:t>
            </w:r>
          </w:p>
        </w:tc>
      </w:tr>
      <w:tr w:rsidR="00B33EC7" w14:paraId="4030D668" w14:textId="77777777" w:rsidTr="00B76AC1">
        <w:tc>
          <w:tcPr>
            <w:tcW w:w="4536" w:type="dxa"/>
            <w:gridSpan w:val="2"/>
            <w:tcBorders>
              <w:top w:val="nil"/>
              <w:left w:val="single" w:sz="8" w:space="0" w:color="auto"/>
              <w:bottom w:val="nil"/>
              <w:right w:val="single" w:sz="8" w:space="0" w:color="000000"/>
            </w:tcBorders>
            <w:shd w:val="clear" w:color="auto" w:fill="auto"/>
            <w:vAlign w:val="center"/>
          </w:tcPr>
          <w:p w14:paraId="1F965B41" w14:textId="4BC778BE" w:rsidR="00B33EC7" w:rsidRDefault="00B33EC7" w:rsidP="00772E5E">
            <w:pPr>
              <w:rPr>
                <w:color w:val="000000"/>
                <w:lang w:eastAsia="en-US"/>
              </w:rPr>
            </w:pPr>
            <w:r>
              <w:rPr>
                <w:color w:val="000000"/>
                <w:lang w:eastAsia="en-US"/>
              </w:rPr>
              <w:t>Call accounts</w:t>
            </w:r>
          </w:p>
        </w:tc>
        <w:tc>
          <w:tcPr>
            <w:tcW w:w="2126" w:type="dxa"/>
            <w:tcBorders>
              <w:top w:val="nil"/>
              <w:left w:val="nil"/>
              <w:bottom w:val="nil"/>
              <w:right w:val="single" w:sz="8" w:space="0" w:color="auto"/>
            </w:tcBorders>
            <w:shd w:val="clear" w:color="auto" w:fill="auto"/>
            <w:vAlign w:val="center"/>
          </w:tcPr>
          <w:p w14:paraId="66378ABA" w14:textId="00745029" w:rsidR="00B33EC7" w:rsidRPr="00194D26" w:rsidRDefault="00903C25" w:rsidP="0004267C">
            <w:pPr>
              <w:jc w:val="center"/>
              <w:rPr>
                <w:color w:val="000000"/>
                <w:lang w:eastAsia="en-US"/>
              </w:rPr>
            </w:pPr>
            <w:r>
              <w:rPr>
                <w:color w:val="000000"/>
                <w:lang w:eastAsia="en-US"/>
              </w:rPr>
              <w:t xml:space="preserve">  </w:t>
            </w:r>
            <w:r w:rsidR="00B33EC7">
              <w:rPr>
                <w:color w:val="000000"/>
                <w:lang w:eastAsia="en-US"/>
              </w:rPr>
              <w:t>9.98</w:t>
            </w:r>
            <w:r>
              <w:rPr>
                <w:color w:val="000000"/>
                <w:lang w:eastAsia="en-US"/>
              </w:rPr>
              <w:t>3</w:t>
            </w:r>
          </w:p>
        </w:tc>
        <w:tc>
          <w:tcPr>
            <w:tcW w:w="1407" w:type="dxa"/>
            <w:tcBorders>
              <w:top w:val="nil"/>
              <w:left w:val="nil"/>
              <w:bottom w:val="nil"/>
              <w:right w:val="single" w:sz="8" w:space="0" w:color="auto"/>
            </w:tcBorders>
            <w:shd w:val="clear" w:color="auto" w:fill="auto"/>
            <w:vAlign w:val="center"/>
          </w:tcPr>
          <w:p w14:paraId="7BD1F1A9" w14:textId="681320A0" w:rsidR="00B33EC7" w:rsidRPr="00194D26" w:rsidRDefault="00B33EC7" w:rsidP="00772E5E">
            <w:pPr>
              <w:jc w:val="center"/>
              <w:rPr>
                <w:color w:val="000000"/>
                <w:lang w:eastAsia="en-US"/>
              </w:rPr>
            </w:pPr>
            <w:r>
              <w:rPr>
                <w:color w:val="000000"/>
                <w:lang w:eastAsia="en-US"/>
              </w:rPr>
              <w:t>0.25</w:t>
            </w:r>
          </w:p>
        </w:tc>
      </w:tr>
      <w:tr w:rsidR="00772E5E" w14:paraId="00D4CAF3" w14:textId="77777777" w:rsidTr="00B76AC1">
        <w:tc>
          <w:tcPr>
            <w:tcW w:w="4536" w:type="dxa"/>
            <w:gridSpan w:val="2"/>
            <w:tcBorders>
              <w:top w:val="nil"/>
              <w:left w:val="single" w:sz="8" w:space="0" w:color="auto"/>
              <w:bottom w:val="nil"/>
              <w:right w:val="single" w:sz="8" w:space="0" w:color="000000"/>
            </w:tcBorders>
            <w:shd w:val="clear" w:color="auto" w:fill="auto"/>
            <w:vAlign w:val="center"/>
            <w:hideMark/>
          </w:tcPr>
          <w:p w14:paraId="44182643" w14:textId="77777777" w:rsidR="00772E5E" w:rsidRDefault="00772E5E" w:rsidP="00772E5E">
            <w:pPr>
              <w:rPr>
                <w:color w:val="000000"/>
              </w:rPr>
            </w:pPr>
            <w:r>
              <w:rPr>
                <w:color w:val="000000"/>
                <w:lang w:eastAsia="en-US"/>
              </w:rPr>
              <w:t>Local Authority Deposits</w:t>
            </w:r>
          </w:p>
        </w:tc>
        <w:tc>
          <w:tcPr>
            <w:tcW w:w="2126" w:type="dxa"/>
            <w:tcBorders>
              <w:top w:val="nil"/>
              <w:left w:val="nil"/>
              <w:bottom w:val="nil"/>
              <w:right w:val="single" w:sz="8" w:space="0" w:color="auto"/>
            </w:tcBorders>
            <w:shd w:val="clear" w:color="auto" w:fill="auto"/>
            <w:vAlign w:val="center"/>
          </w:tcPr>
          <w:p w14:paraId="6D80A07E" w14:textId="75C0CC8E" w:rsidR="00772E5E" w:rsidRPr="00194D26" w:rsidRDefault="00772E5E" w:rsidP="0004267C">
            <w:pPr>
              <w:jc w:val="center"/>
              <w:rPr>
                <w:color w:val="000000"/>
              </w:rPr>
            </w:pPr>
            <w:r w:rsidRPr="00194D26">
              <w:rPr>
                <w:color w:val="000000"/>
                <w:lang w:eastAsia="en-US"/>
              </w:rPr>
              <w:t>46.5</w:t>
            </w:r>
            <w:r w:rsidR="00903C25">
              <w:rPr>
                <w:color w:val="000000"/>
                <w:lang w:eastAsia="en-US"/>
              </w:rPr>
              <w:t>00</w:t>
            </w:r>
          </w:p>
        </w:tc>
        <w:tc>
          <w:tcPr>
            <w:tcW w:w="1407" w:type="dxa"/>
            <w:tcBorders>
              <w:top w:val="nil"/>
              <w:left w:val="nil"/>
              <w:bottom w:val="nil"/>
              <w:right w:val="single" w:sz="8" w:space="0" w:color="auto"/>
            </w:tcBorders>
            <w:shd w:val="clear" w:color="auto" w:fill="auto"/>
            <w:vAlign w:val="center"/>
          </w:tcPr>
          <w:p w14:paraId="7A99FEE7" w14:textId="77777777" w:rsidR="00772E5E" w:rsidRPr="00194D26" w:rsidRDefault="00772E5E" w:rsidP="00772E5E">
            <w:pPr>
              <w:jc w:val="center"/>
              <w:rPr>
                <w:color w:val="000000"/>
              </w:rPr>
            </w:pPr>
            <w:r w:rsidRPr="00194D26">
              <w:rPr>
                <w:color w:val="000000"/>
                <w:lang w:eastAsia="en-US"/>
              </w:rPr>
              <w:t xml:space="preserve"> 1.76 </w:t>
            </w:r>
          </w:p>
        </w:tc>
      </w:tr>
      <w:tr w:rsidR="00772E5E" w14:paraId="43375550" w14:textId="77777777" w:rsidTr="00B76AC1">
        <w:tc>
          <w:tcPr>
            <w:tcW w:w="4536" w:type="dxa"/>
            <w:gridSpan w:val="2"/>
            <w:tcBorders>
              <w:top w:val="nil"/>
              <w:left w:val="single" w:sz="8" w:space="0" w:color="auto"/>
              <w:bottom w:val="nil"/>
              <w:right w:val="single" w:sz="8" w:space="0" w:color="000000"/>
            </w:tcBorders>
            <w:shd w:val="clear" w:color="auto" w:fill="auto"/>
            <w:vAlign w:val="center"/>
            <w:hideMark/>
          </w:tcPr>
          <w:p w14:paraId="7E7A7675" w14:textId="77777777" w:rsidR="00772E5E" w:rsidRDefault="00772E5E" w:rsidP="00772E5E">
            <w:pPr>
              <w:rPr>
                <w:color w:val="000000"/>
              </w:rPr>
            </w:pPr>
            <w:r>
              <w:rPr>
                <w:color w:val="000000"/>
                <w:lang w:eastAsia="en-US"/>
              </w:rPr>
              <w:t>Gilts &amp; Other Core Bonds</w:t>
            </w:r>
          </w:p>
        </w:tc>
        <w:tc>
          <w:tcPr>
            <w:tcW w:w="2126" w:type="dxa"/>
            <w:tcBorders>
              <w:top w:val="nil"/>
              <w:left w:val="nil"/>
              <w:bottom w:val="nil"/>
              <w:right w:val="single" w:sz="8" w:space="0" w:color="auto"/>
            </w:tcBorders>
            <w:shd w:val="clear" w:color="auto" w:fill="auto"/>
            <w:vAlign w:val="center"/>
          </w:tcPr>
          <w:p w14:paraId="3B1F70D3" w14:textId="23A29893" w:rsidR="00772E5E" w:rsidRPr="00194D26" w:rsidRDefault="00772E5E" w:rsidP="00903C25">
            <w:pPr>
              <w:jc w:val="center"/>
              <w:rPr>
                <w:color w:val="000000"/>
              </w:rPr>
            </w:pPr>
            <w:r w:rsidRPr="00194D26">
              <w:rPr>
                <w:color w:val="000000"/>
                <w:lang w:eastAsia="en-US"/>
              </w:rPr>
              <w:t>312.4</w:t>
            </w:r>
            <w:r w:rsidR="00903C25">
              <w:rPr>
                <w:color w:val="000000"/>
                <w:lang w:eastAsia="en-US"/>
              </w:rPr>
              <w:t>08</w:t>
            </w:r>
          </w:p>
        </w:tc>
        <w:tc>
          <w:tcPr>
            <w:tcW w:w="1407" w:type="dxa"/>
            <w:tcBorders>
              <w:top w:val="nil"/>
              <w:left w:val="nil"/>
              <w:bottom w:val="nil"/>
              <w:right w:val="single" w:sz="8" w:space="0" w:color="auto"/>
            </w:tcBorders>
            <w:shd w:val="clear" w:color="auto" w:fill="auto"/>
            <w:vAlign w:val="center"/>
          </w:tcPr>
          <w:p w14:paraId="40381982" w14:textId="77777777" w:rsidR="00772E5E" w:rsidRPr="00194D26" w:rsidRDefault="00772E5E" w:rsidP="00772E5E">
            <w:pPr>
              <w:jc w:val="center"/>
              <w:rPr>
                <w:color w:val="000000"/>
              </w:rPr>
            </w:pPr>
            <w:r w:rsidRPr="00194D26">
              <w:rPr>
                <w:color w:val="000000"/>
                <w:lang w:eastAsia="en-US"/>
              </w:rPr>
              <w:t xml:space="preserve">  1.40 </w:t>
            </w:r>
          </w:p>
        </w:tc>
      </w:tr>
      <w:tr w:rsidR="00772E5E" w14:paraId="02D5B45E" w14:textId="77777777" w:rsidTr="00B76AC1">
        <w:tc>
          <w:tcPr>
            <w:tcW w:w="4536" w:type="dxa"/>
            <w:gridSpan w:val="2"/>
            <w:tcBorders>
              <w:top w:val="nil"/>
              <w:left w:val="single" w:sz="8" w:space="0" w:color="auto"/>
              <w:bottom w:val="nil"/>
              <w:right w:val="single" w:sz="8" w:space="0" w:color="000000"/>
            </w:tcBorders>
            <w:shd w:val="clear" w:color="auto" w:fill="auto"/>
            <w:vAlign w:val="center"/>
          </w:tcPr>
          <w:p w14:paraId="3CD0A3AC" w14:textId="2564B824" w:rsidR="00772E5E" w:rsidRDefault="00772E5E">
            <w:pPr>
              <w:rPr>
                <w:color w:val="000000"/>
              </w:rPr>
            </w:pPr>
            <w:r>
              <w:rPr>
                <w:color w:val="000000"/>
              </w:rPr>
              <w:t>S</w:t>
            </w:r>
            <w:r w:rsidR="00486957">
              <w:rPr>
                <w:color w:val="000000"/>
              </w:rPr>
              <w:t>enior Secured Bond Fund</w:t>
            </w:r>
          </w:p>
        </w:tc>
        <w:tc>
          <w:tcPr>
            <w:tcW w:w="2126" w:type="dxa"/>
            <w:tcBorders>
              <w:top w:val="nil"/>
              <w:left w:val="nil"/>
              <w:bottom w:val="nil"/>
              <w:right w:val="single" w:sz="8" w:space="0" w:color="auto"/>
            </w:tcBorders>
            <w:shd w:val="clear" w:color="auto" w:fill="auto"/>
            <w:vAlign w:val="center"/>
          </w:tcPr>
          <w:p w14:paraId="2B23CD82" w14:textId="0C135ED1" w:rsidR="00772E5E" w:rsidRPr="00194D26" w:rsidRDefault="00772E5E" w:rsidP="0004267C">
            <w:pPr>
              <w:jc w:val="center"/>
              <w:rPr>
                <w:color w:val="000000"/>
              </w:rPr>
            </w:pPr>
            <w:r w:rsidRPr="00194D26">
              <w:rPr>
                <w:color w:val="000000"/>
              </w:rPr>
              <w:t>30.00</w:t>
            </w:r>
            <w:r w:rsidR="00903C25">
              <w:rPr>
                <w:color w:val="000000"/>
              </w:rPr>
              <w:t>0</w:t>
            </w:r>
          </w:p>
        </w:tc>
        <w:tc>
          <w:tcPr>
            <w:tcW w:w="1407" w:type="dxa"/>
            <w:tcBorders>
              <w:top w:val="nil"/>
              <w:left w:val="nil"/>
              <w:bottom w:val="nil"/>
              <w:right w:val="single" w:sz="8" w:space="0" w:color="auto"/>
            </w:tcBorders>
            <w:shd w:val="clear" w:color="auto" w:fill="auto"/>
            <w:vAlign w:val="center"/>
          </w:tcPr>
          <w:p w14:paraId="178FCDC5" w14:textId="77777777" w:rsidR="00772E5E" w:rsidRPr="00194D26" w:rsidRDefault="00772E5E" w:rsidP="00772E5E">
            <w:pPr>
              <w:jc w:val="center"/>
              <w:rPr>
                <w:color w:val="000000"/>
              </w:rPr>
            </w:pPr>
            <w:r w:rsidRPr="00194D26">
              <w:rPr>
                <w:color w:val="000000"/>
              </w:rPr>
              <w:t> </w:t>
            </w:r>
            <w:r w:rsidR="001768FF" w:rsidRPr="00194D26">
              <w:rPr>
                <w:color w:val="000000"/>
              </w:rPr>
              <w:t>1.67</w:t>
            </w:r>
          </w:p>
        </w:tc>
      </w:tr>
      <w:tr w:rsidR="00772E5E" w14:paraId="0B39A36B" w14:textId="77777777" w:rsidTr="00B76AC1">
        <w:tc>
          <w:tcPr>
            <w:tcW w:w="4536" w:type="dxa"/>
            <w:gridSpan w:val="2"/>
            <w:tcBorders>
              <w:top w:val="nil"/>
              <w:left w:val="single" w:sz="8" w:space="0" w:color="auto"/>
              <w:bottom w:val="single" w:sz="8" w:space="0" w:color="auto"/>
              <w:right w:val="single" w:sz="8" w:space="0" w:color="000000"/>
            </w:tcBorders>
            <w:shd w:val="clear" w:color="auto" w:fill="auto"/>
            <w:vAlign w:val="center"/>
            <w:hideMark/>
          </w:tcPr>
          <w:p w14:paraId="5B753DA8" w14:textId="77777777" w:rsidR="00772E5E" w:rsidRDefault="00772E5E" w:rsidP="00772E5E">
            <w:pPr>
              <w:rPr>
                <w:color w:val="000000"/>
              </w:rPr>
            </w:pPr>
            <w:r>
              <w:rPr>
                <w:color w:val="000000"/>
                <w:lang w:eastAsia="en-US"/>
              </w:rPr>
              <w:t>Floating Rate Notes (short term liquidity)</w:t>
            </w:r>
          </w:p>
        </w:tc>
        <w:tc>
          <w:tcPr>
            <w:tcW w:w="2126" w:type="dxa"/>
            <w:tcBorders>
              <w:top w:val="nil"/>
              <w:left w:val="nil"/>
              <w:bottom w:val="single" w:sz="8" w:space="0" w:color="auto"/>
              <w:right w:val="single" w:sz="8" w:space="0" w:color="auto"/>
            </w:tcBorders>
            <w:shd w:val="clear" w:color="auto" w:fill="auto"/>
            <w:vAlign w:val="center"/>
          </w:tcPr>
          <w:p w14:paraId="3BCB4920" w14:textId="5E292E49" w:rsidR="00772E5E" w:rsidRPr="00194D26" w:rsidRDefault="00772E5E" w:rsidP="0004267C">
            <w:pPr>
              <w:jc w:val="center"/>
              <w:rPr>
                <w:color w:val="000000"/>
              </w:rPr>
            </w:pPr>
            <w:r w:rsidRPr="00194D26">
              <w:rPr>
                <w:color w:val="000000"/>
                <w:lang w:eastAsia="en-US"/>
              </w:rPr>
              <w:t>132.46</w:t>
            </w:r>
            <w:r w:rsidR="00903C25">
              <w:rPr>
                <w:color w:val="000000"/>
                <w:lang w:eastAsia="en-US"/>
              </w:rPr>
              <w:t>5</w:t>
            </w:r>
          </w:p>
        </w:tc>
        <w:tc>
          <w:tcPr>
            <w:tcW w:w="1407" w:type="dxa"/>
            <w:tcBorders>
              <w:top w:val="nil"/>
              <w:left w:val="nil"/>
              <w:bottom w:val="single" w:sz="8" w:space="0" w:color="auto"/>
              <w:right w:val="single" w:sz="8" w:space="0" w:color="auto"/>
            </w:tcBorders>
            <w:shd w:val="clear" w:color="auto" w:fill="auto"/>
            <w:vAlign w:val="center"/>
          </w:tcPr>
          <w:p w14:paraId="00C11B1C" w14:textId="77777777" w:rsidR="00772E5E" w:rsidRPr="00194D26" w:rsidRDefault="001768FF" w:rsidP="00772E5E">
            <w:pPr>
              <w:jc w:val="center"/>
              <w:rPr>
                <w:color w:val="000000"/>
              </w:rPr>
            </w:pPr>
            <w:r w:rsidRPr="00194D26">
              <w:rPr>
                <w:color w:val="000000"/>
                <w:lang w:eastAsia="en-US"/>
              </w:rPr>
              <w:t>1.38</w:t>
            </w:r>
          </w:p>
        </w:tc>
      </w:tr>
      <w:tr w:rsidR="00EB48D7" w14:paraId="24980382" w14:textId="77777777" w:rsidTr="00B76AC1">
        <w:tc>
          <w:tcPr>
            <w:tcW w:w="4536" w:type="dxa"/>
            <w:gridSpan w:val="2"/>
            <w:tcBorders>
              <w:top w:val="single" w:sz="8" w:space="0" w:color="auto"/>
              <w:left w:val="single" w:sz="8" w:space="0" w:color="auto"/>
              <w:bottom w:val="nil"/>
              <w:right w:val="single" w:sz="8" w:space="0" w:color="000000"/>
            </w:tcBorders>
            <w:vAlign w:val="center"/>
            <w:hideMark/>
          </w:tcPr>
          <w:p w14:paraId="3D3EF3B9" w14:textId="77777777" w:rsidR="00EB48D7" w:rsidRPr="00995167" w:rsidRDefault="00EB48D7" w:rsidP="00520F95">
            <w:pPr>
              <w:spacing w:line="256" w:lineRule="auto"/>
              <w:rPr>
                <w:b/>
                <w:bCs/>
                <w:lang w:eastAsia="en-US"/>
              </w:rPr>
            </w:pPr>
            <w:r w:rsidRPr="00995167">
              <w:rPr>
                <w:b/>
                <w:bCs/>
                <w:lang w:eastAsia="en-US"/>
              </w:rPr>
              <w:t>Total Investments</w:t>
            </w:r>
          </w:p>
        </w:tc>
        <w:tc>
          <w:tcPr>
            <w:tcW w:w="2126" w:type="dxa"/>
            <w:tcBorders>
              <w:top w:val="nil"/>
              <w:left w:val="nil"/>
              <w:bottom w:val="nil"/>
              <w:right w:val="single" w:sz="8" w:space="0" w:color="auto"/>
            </w:tcBorders>
            <w:vAlign w:val="center"/>
          </w:tcPr>
          <w:p w14:paraId="3318D9DC" w14:textId="2FC40C5B" w:rsidR="00EB48D7" w:rsidRPr="00194D26" w:rsidRDefault="00772E5E" w:rsidP="00903C25">
            <w:pPr>
              <w:spacing w:line="256" w:lineRule="auto"/>
              <w:jc w:val="center"/>
              <w:rPr>
                <w:b/>
                <w:bCs/>
                <w:lang w:eastAsia="en-US"/>
              </w:rPr>
            </w:pPr>
            <w:r w:rsidRPr="00194D26">
              <w:rPr>
                <w:b/>
                <w:bCs/>
                <w:lang w:eastAsia="en-US"/>
              </w:rPr>
              <w:t>531.35</w:t>
            </w:r>
            <w:r w:rsidR="00903C25">
              <w:rPr>
                <w:b/>
                <w:bCs/>
                <w:lang w:eastAsia="en-US"/>
              </w:rPr>
              <w:t>6</w:t>
            </w:r>
          </w:p>
        </w:tc>
        <w:tc>
          <w:tcPr>
            <w:tcW w:w="1407" w:type="dxa"/>
            <w:tcBorders>
              <w:top w:val="nil"/>
              <w:left w:val="nil"/>
              <w:bottom w:val="nil"/>
              <w:right w:val="single" w:sz="8" w:space="0" w:color="auto"/>
            </w:tcBorders>
            <w:vAlign w:val="center"/>
          </w:tcPr>
          <w:p w14:paraId="5B6AA064" w14:textId="77777777" w:rsidR="00EB48D7" w:rsidRPr="00B76AC1" w:rsidRDefault="001768FF" w:rsidP="00520F95">
            <w:pPr>
              <w:spacing w:line="256" w:lineRule="auto"/>
              <w:jc w:val="center"/>
              <w:rPr>
                <w:b/>
                <w:bCs/>
                <w:lang w:eastAsia="en-US"/>
              </w:rPr>
            </w:pPr>
            <w:r w:rsidRPr="00B76AC1">
              <w:rPr>
                <w:b/>
                <w:bCs/>
                <w:lang w:eastAsia="en-US"/>
              </w:rPr>
              <w:t>1.42</w:t>
            </w:r>
          </w:p>
        </w:tc>
      </w:tr>
      <w:tr w:rsidR="00EB48D7" w14:paraId="2328346F" w14:textId="77777777" w:rsidTr="00B76AC1">
        <w:tc>
          <w:tcPr>
            <w:tcW w:w="4536" w:type="dxa"/>
            <w:gridSpan w:val="2"/>
            <w:tcBorders>
              <w:top w:val="nil"/>
              <w:left w:val="single" w:sz="4" w:space="0" w:color="auto"/>
              <w:bottom w:val="nil"/>
              <w:right w:val="single" w:sz="4" w:space="0" w:color="auto"/>
            </w:tcBorders>
          </w:tcPr>
          <w:p w14:paraId="76CB4A45" w14:textId="77777777" w:rsidR="00EB48D7" w:rsidRPr="0072545C" w:rsidRDefault="00EB48D7" w:rsidP="00520F95">
            <w:pPr>
              <w:spacing w:line="256" w:lineRule="auto"/>
              <w:rPr>
                <w:b/>
                <w:highlight w:val="yellow"/>
                <w:lang w:eastAsia="en-US"/>
              </w:rPr>
            </w:pPr>
          </w:p>
        </w:tc>
        <w:tc>
          <w:tcPr>
            <w:tcW w:w="2126" w:type="dxa"/>
            <w:tcBorders>
              <w:top w:val="nil"/>
              <w:left w:val="single" w:sz="4" w:space="0" w:color="auto"/>
              <w:bottom w:val="nil"/>
              <w:right w:val="single" w:sz="4" w:space="0" w:color="auto"/>
            </w:tcBorders>
            <w:vAlign w:val="center"/>
          </w:tcPr>
          <w:p w14:paraId="6FED342C" w14:textId="77777777" w:rsidR="00EB48D7" w:rsidRPr="00B76AC1" w:rsidRDefault="00EB48D7" w:rsidP="00194D26">
            <w:pPr>
              <w:spacing w:line="256" w:lineRule="auto"/>
              <w:jc w:val="center"/>
              <w:rPr>
                <w:b/>
                <w:lang w:eastAsia="en-US"/>
              </w:rPr>
            </w:pPr>
          </w:p>
        </w:tc>
        <w:tc>
          <w:tcPr>
            <w:tcW w:w="1407" w:type="dxa"/>
            <w:tcBorders>
              <w:top w:val="nil"/>
              <w:left w:val="single" w:sz="4" w:space="0" w:color="auto"/>
              <w:bottom w:val="nil"/>
              <w:right w:val="single" w:sz="4" w:space="0" w:color="auto"/>
            </w:tcBorders>
          </w:tcPr>
          <w:p w14:paraId="79F7669B" w14:textId="77777777" w:rsidR="00EB48D7" w:rsidRPr="00B76AC1" w:rsidRDefault="00EB48D7" w:rsidP="00520F95">
            <w:pPr>
              <w:spacing w:line="256" w:lineRule="auto"/>
              <w:jc w:val="right"/>
              <w:rPr>
                <w:b/>
                <w:color w:val="FFFF00"/>
                <w:lang w:eastAsia="en-US"/>
              </w:rPr>
            </w:pPr>
          </w:p>
        </w:tc>
      </w:tr>
      <w:tr w:rsidR="00EB48D7" w14:paraId="362F0FF6" w14:textId="77777777" w:rsidTr="00B76AC1">
        <w:tc>
          <w:tcPr>
            <w:tcW w:w="4536" w:type="dxa"/>
            <w:gridSpan w:val="2"/>
            <w:tcBorders>
              <w:top w:val="nil"/>
              <w:left w:val="single" w:sz="8" w:space="0" w:color="auto"/>
              <w:bottom w:val="nil"/>
              <w:right w:val="single" w:sz="8" w:space="0" w:color="000000"/>
            </w:tcBorders>
            <w:vAlign w:val="center"/>
            <w:hideMark/>
          </w:tcPr>
          <w:p w14:paraId="58703DFF" w14:textId="77777777" w:rsidR="00EB48D7" w:rsidRPr="00C45909" w:rsidRDefault="00EB48D7" w:rsidP="00520F95">
            <w:pPr>
              <w:spacing w:line="256" w:lineRule="auto"/>
              <w:rPr>
                <w:lang w:eastAsia="en-US"/>
              </w:rPr>
            </w:pPr>
            <w:r>
              <w:rPr>
                <w:lang w:eastAsia="en-US"/>
              </w:rPr>
              <w:t>Short-term loans</w:t>
            </w:r>
          </w:p>
        </w:tc>
        <w:tc>
          <w:tcPr>
            <w:tcW w:w="2126" w:type="dxa"/>
            <w:tcBorders>
              <w:top w:val="nil"/>
              <w:left w:val="nil"/>
              <w:bottom w:val="nil"/>
              <w:right w:val="single" w:sz="8" w:space="0" w:color="auto"/>
            </w:tcBorders>
            <w:vAlign w:val="center"/>
          </w:tcPr>
          <w:p w14:paraId="650737E6" w14:textId="77777777" w:rsidR="00EB48D7" w:rsidRPr="00194D26" w:rsidRDefault="00F25AF1" w:rsidP="0004267C">
            <w:pPr>
              <w:spacing w:line="256" w:lineRule="auto"/>
              <w:jc w:val="center"/>
              <w:rPr>
                <w:lang w:eastAsia="en-US"/>
              </w:rPr>
            </w:pPr>
            <w:r w:rsidRPr="00194D26">
              <w:rPr>
                <w:lang w:eastAsia="en-US"/>
              </w:rPr>
              <w:t>339.500</w:t>
            </w:r>
          </w:p>
        </w:tc>
        <w:tc>
          <w:tcPr>
            <w:tcW w:w="1407" w:type="dxa"/>
            <w:tcBorders>
              <w:top w:val="nil"/>
              <w:left w:val="nil"/>
              <w:bottom w:val="nil"/>
              <w:right w:val="single" w:sz="8" w:space="0" w:color="auto"/>
            </w:tcBorders>
            <w:vAlign w:val="center"/>
          </w:tcPr>
          <w:p w14:paraId="60F871B5" w14:textId="77777777" w:rsidR="00EB48D7" w:rsidRPr="00194D26" w:rsidRDefault="00772E5E" w:rsidP="00520F95">
            <w:pPr>
              <w:spacing w:line="256" w:lineRule="auto"/>
              <w:jc w:val="center"/>
              <w:rPr>
                <w:lang w:eastAsia="en-US"/>
              </w:rPr>
            </w:pPr>
            <w:r w:rsidRPr="00194D26">
              <w:rPr>
                <w:lang w:eastAsia="en-US"/>
              </w:rPr>
              <w:t>0.59</w:t>
            </w:r>
          </w:p>
        </w:tc>
      </w:tr>
      <w:tr w:rsidR="00EB48D7" w14:paraId="63E901EA" w14:textId="77777777" w:rsidTr="00B76AC1">
        <w:tc>
          <w:tcPr>
            <w:tcW w:w="4536" w:type="dxa"/>
            <w:gridSpan w:val="2"/>
            <w:tcBorders>
              <w:top w:val="nil"/>
              <w:left w:val="single" w:sz="8" w:space="0" w:color="auto"/>
              <w:bottom w:val="nil"/>
              <w:right w:val="single" w:sz="8" w:space="0" w:color="000000"/>
            </w:tcBorders>
            <w:vAlign w:val="center"/>
            <w:hideMark/>
          </w:tcPr>
          <w:p w14:paraId="468416BA" w14:textId="77777777" w:rsidR="00EB48D7" w:rsidRPr="00C45909" w:rsidRDefault="00EB48D7" w:rsidP="00520F95">
            <w:pPr>
              <w:spacing w:line="256" w:lineRule="auto"/>
              <w:rPr>
                <w:lang w:eastAsia="en-US"/>
              </w:rPr>
            </w:pPr>
            <w:r w:rsidRPr="00C45909">
              <w:rPr>
                <w:lang w:eastAsia="en-US"/>
              </w:rPr>
              <w:t>Long-term loans (Local Authorities)</w:t>
            </w:r>
          </w:p>
        </w:tc>
        <w:tc>
          <w:tcPr>
            <w:tcW w:w="2126" w:type="dxa"/>
            <w:tcBorders>
              <w:top w:val="nil"/>
              <w:left w:val="nil"/>
              <w:bottom w:val="nil"/>
              <w:right w:val="single" w:sz="8" w:space="0" w:color="auto"/>
            </w:tcBorders>
            <w:vAlign w:val="center"/>
          </w:tcPr>
          <w:p w14:paraId="5468A68D" w14:textId="77777777" w:rsidR="00EB48D7" w:rsidRPr="00194D26" w:rsidRDefault="00F25AF1" w:rsidP="0004267C">
            <w:pPr>
              <w:spacing w:line="256" w:lineRule="auto"/>
              <w:jc w:val="center"/>
              <w:rPr>
                <w:lang w:eastAsia="en-US"/>
              </w:rPr>
            </w:pPr>
            <w:r w:rsidRPr="00194D26">
              <w:rPr>
                <w:lang w:eastAsia="en-US"/>
              </w:rPr>
              <w:t>203.500</w:t>
            </w:r>
          </w:p>
        </w:tc>
        <w:tc>
          <w:tcPr>
            <w:tcW w:w="1407" w:type="dxa"/>
            <w:tcBorders>
              <w:top w:val="nil"/>
              <w:left w:val="nil"/>
              <w:bottom w:val="nil"/>
              <w:right w:val="single" w:sz="8" w:space="0" w:color="auto"/>
            </w:tcBorders>
            <w:vAlign w:val="center"/>
          </w:tcPr>
          <w:p w14:paraId="4DCA45EA" w14:textId="77777777" w:rsidR="00EB48D7" w:rsidRPr="00194D26" w:rsidRDefault="00772E5E" w:rsidP="00520F95">
            <w:pPr>
              <w:spacing w:line="256" w:lineRule="auto"/>
              <w:jc w:val="center"/>
              <w:rPr>
                <w:lang w:eastAsia="en-US"/>
              </w:rPr>
            </w:pPr>
            <w:r w:rsidRPr="00194D26">
              <w:rPr>
                <w:lang w:eastAsia="en-US"/>
              </w:rPr>
              <w:t>1.32</w:t>
            </w:r>
          </w:p>
        </w:tc>
      </w:tr>
      <w:tr w:rsidR="00EB48D7" w14:paraId="47681E7D" w14:textId="77777777" w:rsidTr="00B76AC1">
        <w:tc>
          <w:tcPr>
            <w:tcW w:w="4536" w:type="dxa"/>
            <w:gridSpan w:val="2"/>
            <w:tcBorders>
              <w:top w:val="nil"/>
              <w:left w:val="single" w:sz="8" w:space="0" w:color="auto"/>
              <w:bottom w:val="nil"/>
              <w:right w:val="single" w:sz="8" w:space="0" w:color="000000"/>
            </w:tcBorders>
            <w:vAlign w:val="center"/>
            <w:hideMark/>
          </w:tcPr>
          <w:p w14:paraId="7CFB5B06" w14:textId="459A983F" w:rsidR="00EB48D7" w:rsidRPr="00C45909" w:rsidRDefault="00EB48D7" w:rsidP="00B82B45">
            <w:pPr>
              <w:spacing w:line="256" w:lineRule="auto"/>
              <w:rPr>
                <w:lang w:eastAsia="en-US"/>
              </w:rPr>
            </w:pPr>
            <w:r>
              <w:rPr>
                <w:lang w:eastAsia="en-US"/>
              </w:rPr>
              <w:t>Shared Investment Scheme</w:t>
            </w:r>
          </w:p>
        </w:tc>
        <w:tc>
          <w:tcPr>
            <w:tcW w:w="2126" w:type="dxa"/>
            <w:tcBorders>
              <w:top w:val="nil"/>
              <w:left w:val="nil"/>
              <w:bottom w:val="nil"/>
              <w:right w:val="single" w:sz="8" w:space="0" w:color="auto"/>
            </w:tcBorders>
            <w:vAlign w:val="center"/>
          </w:tcPr>
          <w:p w14:paraId="51E00065" w14:textId="77777777" w:rsidR="00EB48D7" w:rsidRPr="00194D26" w:rsidRDefault="00520F95" w:rsidP="0004267C">
            <w:pPr>
              <w:spacing w:line="256" w:lineRule="auto"/>
              <w:jc w:val="center"/>
              <w:rPr>
                <w:lang w:eastAsia="en-US"/>
              </w:rPr>
            </w:pPr>
            <w:r w:rsidRPr="00194D26">
              <w:rPr>
                <w:lang w:eastAsia="en-US"/>
              </w:rPr>
              <w:t>65.382</w:t>
            </w:r>
          </w:p>
        </w:tc>
        <w:tc>
          <w:tcPr>
            <w:tcW w:w="1407" w:type="dxa"/>
            <w:tcBorders>
              <w:top w:val="nil"/>
              <w:left w:val="nil"/>
              <w:bottom w:val="nil"/>
              <w:right w:val="single" w:sz="8" w:space="0" w:color="auto"/>
            </w:tcBorders>
            <w:vAlign w:val="center"/>
          </w:tcPr>
          <w:p w14:paraId="197C0F6A" w14:textId="77777777" w:rsidR="00EB48D7" w:rsidRPr="00194D26" w:rsidRDefault="00772E5E" w:rsidP="00520F95">
            <w:pPr>
              <w:spacing w:line="256" w:lineRule="auto"/>
              <w:jc w:val="center"/>
              <w:rPr>
                <w:lang w:eastAsia="en-US"/>
              </w:rPr>
            </w:pPr>
            <w:r w:rsidRPr="00194D26">
              <w:rPr>
                <w:lang w:eastAsia="en-US"/>
              </w:rPr>
              <w:t>0.24</w:t>
            </w:r>
          </w:p>
        </w:tc>
      </w:tr>
      <w:tr w:rsidR="00EB48D7" w14:paraId="73B289CB" w14:textId="77777777" w:rsidTr="00B76AC1">
        <w:tc>
          <w:tcPr>
            <w:tcW w:w="4536" w:type="dxa"/>
            <w:gridSpan w:val="2"/>
            <w:tcBorders>
              <w:top w:val="nil"/>
              <w:left w:val="single" w:sz="8" w:space="0" w:color="auto"/>
              <w:bottom w:val="nil"/>
              <w:right w:val="single" w:sz="8" w:space="0" w:color="000000"/>
            </w:tcBorders>
            <w:vAlign w:val="center"/>
            <w:hideMark/>
          </w:tcPr>
          <w:p w14:paraId="0066781B" w14:textId="77777777" w:rsidR="00EB48D7" w:rsidRPr="00C45909" w:rsidRDefault="00EB48D7" w:rsidP="00520F95">
            <w:pPr>
              <w:spacing w:line="256" w:lineRule="auto"/>
              <w:rPr>
                <w:lang w:eastAsia="en-US"/>
              </w:rPr>
            </w:pPr>
            <w:r w:rsidRPr="00C45909">
              <w:rPr>
                <w:lang w:eastAsia="en-US"/>
              </w:rPr>
              <w:t>Long-term PWLB loans</w:t>
            </w:r>
          </w:p>
        </w:tc>
        <w:tc>
          <w:tcPr>
            <w:tcW w:w="2126" w:type="dxa"/>
            <w:tcBorders>
              <w:top w:val="nil"/>
              <w:left w:val="nil"/>
              <w:bottom w:val="nil"/>
              <w:right w:val="single" w:sz="8" w:space="0" w:color="auto"/>
            </w:tcBorders>
            <w:vAlign w:val="center"/>
          </w:tcPr>
          <w:p w14:paraId="761A5D5A" w14:textId="77777777" w:rsidR="00EB48D7" w:rsidRPr="00194D26" w:rsidRDefault="00520F95" w:rsidP="0004267C">
            <w:pPr>
              <w:spacing w:line="256" w:lineRule="auto"/>
              <w:jc w:val="center"/>
              <w:rPr>
                <w:lang w:eastAsia="en-US"/>
              </w:rPr>
            </w:pPr>
            <w:r w:rsidRPr="00194D26">
              <w:rPr>
                <w:lang w:eastAsia="en-US"/>
              </w:rPr>
              <w:t>338.850</w:t>
            </w:r>
          </w:p>
        </w:tc>
        <w:tc>
          <w:tcPr>
            <w:tcW w:w="1407" w:type="dxa"/>
            <w:tcBorders>
              <w:top w:val="nil"/>
              <w:left w:val="nil"/>
              <w:bottom w:val="nil"/>
              <w:right w:val="single" w:sz="8" w:space="0" w:color="auto"/>
            </w:tcBorders>
            <w:vAlign w:val="center"/>
          </w:tcPr>
          <w:p w14:paraId="6C7C32B7" w14:textId="77777777" w:rsidR="00EB48D7" w:rsidRPr="00194D26" w:rsidRDefault="00772E5E" w:rsidP="00520F95">
            <w:pPr>
              <w:spacing w:line="256" w:lineRule="auto"/>
              <w:jc w:val="center"/>
              <w:rPr>
                <w:lang w:eastAsia="en-US"/>
              </w:rPr>
            </w:pPr>
            <w:r w:rsidRPr="00194D26">
              <w:rPr>
                <w:lang w:eastAsia="en-US"/>
              </w:rPr>
              <w:t>2.97</w:t>
            </w:r>
          </w:p>
        </w:tc>
      </w:tr>
      <w:tr w:rsidR="00EB48D7" w14:paraId="02A3C333" w14:textId="77777777" w:rsidTr="00B76AC1">
        <w:tc>
          <w:tcPr>
            <w:tcW w:w="4536" w:type="dxa"/>
            <w:gridSpan w:val="2"/>
            <w:tcBorders>
              <w:top w:val="nil"/>
              <w:left w:val="single" w:sz="8" w:space="0" w:color="auto"/>
              <w:bottom w:val="single" w:sz="8" w:space="0" w:color="auto"/>
              <w:right w:val="single" w:sz="8" w:space="0" w:color="000000"/>
            </w:tcBorders>
            <w:vAlign w:val="center"/>
            <w:hideMark/>
          </w:tcPr>
          <w:p w14:paraId="235D1F91" w14:textId="77777777" w:rsidR="00EB48D7" w:rsidRPr="00C45909" w:rsidRDefault="00EB48D7" w:rsidP="00520F95">
            <w:pPr>
              <w:spacing w:line="256" w:lineRule="auto"/>
              <w:rPr>
                <w:lang w:eastAsia="en-US"/>
              </w:rPr>
            </w:pPr>
            <w:r w:rsidRPr="00C45909">
              <w:rPr>
                <w:lang w:eastAsia="en-US"/>
              </w:rPr>
              <w:t>Long-term market loans (LOBOs)</w:t>
            </w:r>
          </w:p>
        </w:tc>
        <w:tc>
          <w:tcPr>
            <w:tcW w:w="2126" w:type="dxa"/>
            <w:tcBorders>
              <w:top w:val="nil"/>
              <w:left w:val="nil"/>
              <w:bottom w:val="single" w:sz="8" w:space="0" w:color="auto"/>
              <w:right w:val="single" w:sz="8" w:space="0" w:color="auto"/>
            </w:tcBorders>
            <w:vAlign w:val="center"/>
          </w:tcPr>
          <w:p w14:paraId="4690CA07" w14:textId="77777777" w:rsidR="00EB48D7" w:rsidRPr="00194D26" w:rsidRDefault="00520F95" w:rsidP="0004267C">
            <w:pPr>
              <w:spacing w:line="256" w:lineRule="auto"/>
              <w:jc w:val="center"/>
              <w:rPr>
                <w:lang w:eastAsia="en-US"/>
              </w:rPr>
            </w:pPr>
            <w:r w:rsidRPr="00194D26">
              <w:rPr>
                <w:lang w:eastAsia="en-US"/>
              </w:rPr>
              <w:t>51.783</w:t>
            </w:r>
          </w:p>
        </w:tc>
        <w:tc>
          <w:tcPr>
            <w:tcW w:w="1407" w:type="dxa"/>
            <w:tcBorders>
              <w:top w:val="nil"/>
              <w:left w:val="nil"/>
              <w:bottom w:val="single" w:sz="8" w:space="0" w:color="auto"/>
              <w:right w:val="single" w:sz="8" w:space="0" w:color="auto"/>
            </w:tcBorders>
            <w:vAlign w:val="center"/>
          </w:tcPr>
          <w:p w14:paraId="3BA34BE7" w14:textId="77777777" w:rsidR="00EB48D7" w:rsidRPr="00194D26" w:rsidRDefault="00772E5E" w:rsidP="00520F95">
            <w:pPr>
              <w:spacing w:line="256" w:lineRule="auto"/>
              <w:jc w:val="center"/>
              <w:rPr>
                <w:lang w:eastAsia="en-US"/>
              </w:rPr>
            </w:pPr>
            <w:r w:rsidRPr="00194D26">
              <w:rPr>
                <w:lang w:eastAsia="en-US"/>
              </w:rPr>
              <w:t>6.35</w:t>
            </w:r>
          </w:p>
        </w:tc>
      </w:tr>
      <w:tr w:rsidR="00EB48D7" w14:paraId="5F82B0B4" w14:textId="77777777" w:rsidTr="00B76AC1">
        <w:tc>
          <w:tcPr>
            <w:tcW w:w="4536" w:type="dxa"/>
            <w:gridSpan w:val="2"/>
            <w:tcBorders>
              <w:top w:val="single" w:sz="8" w:space="0" w:color="auto"/>
              <w:left w:val="single" w:sz="8" w:space="0" w:color="auto"/>
              <w:bottom w:val="nil"/>
              <w:right w:val="single" w:sz="8" w:space="0" w:color="000000"/>
            </w:tcBorders>
            <w:vAlign w:val="center"/>
            <w:hideMark/>
          </w:tcPr>
          <w:p w14:paraId="5F842CAE" w14:textId="77777777" w:rsidR="00EB48D7" w:rsidRPr="00995167" w:rsidRDefault="00EB48D7" w:rsidP="00520F95">
            <w:pPr>
              <w:spacing w:line="256" w:lineRule="auto"/>
              <w:rPr>
                <w:b/>
                <w:bCs/>
                <w:lang w:eastAsia="en-US"/>
              </w:rPr>
            </w:pPr>
            <w:r w:rsidRPr="00995167">
              <w:rPr>
                <w:b/>
                <w:bCs/>
                <w:lang w:eastAsia="en-US"/>
              </w:rPr>
              <w:t>Total Borrowing</w:t>
            </w:r>
          </w:p>
        </w:tc>
        <w:tc>
          <w:tcPr>
            <w:tcW w:w="2126" w:type="dxa"/>
            <w:tcBorders>
              <w:top w:val="nil"/>
              <w:left w:val="nil"/>
              <w:bottom w:val="nil"/>
              <w:right w:val="single" w:sz="8" w:space="0" w:color="auto"/>
            </w:tcBorders>
            <w:vAlign w:val="center"/>
          </w:tcPr>
          <w:p w14:paraId="6CB2EF0B" w14:textId="77777777" w:rsidR="00EB48D7" w:rsidRPr="00194D26" w:rsidRDefault="00520F95" w:rsidP="0004267C">
            <w:pPr>
              <w:spacing w:line="256" w:lineRule="auto"/>
              <w:jc w:val="center"/>
              <w:rPr>
                <w:b/>
                <w:bCs/>
                <w:lang w:eastAsia="en-US"/>
              </w:rPr>
            </w:pPr>
            <w:r w:rsidRPr="00194D26">
              <w:rPr>
                <w:b/>
                <w:bCs/>
                <w:lang w:eastAsia="en-US"/>
              </w:rPr>
              <w:t>999.015</w:t>
            </w:r>
          </w:p>
        </w:tc>
        <w:tc>
          <w:tcPr>
            <w:tcW w:w="1407" w:type="dxa"/>
            <w:tcBorders>
              <w:top w:val="nil"/>
              <w:left w:val="nil"/>
              <w:bottom w:val="nil"/>
              <w:right w:val="single" w:sz="8" w:space="0" w:color="auto"/>
            </w:tcBorders>
            <w:vAlign w:val="center"/>
          </w:tcPr>
          <w:p w14:paraId="2789760E" w14:textId="77777777" w:rsidR="00EB48D7" w:rsidRPr="00B76AC1" w:rsidRDefault="00772E5E" w:rsidP="00520F95">
            <w:pPr>
              <w:spacing w:line="256" w:lineRule="auto"/>
              <w:jc w:val="center"/>
              <w:rPr>
                <w:b/>
                <w:bCs/>
                <w:lang w:eastAsia="en-US"/>
              </w:rPr>
            </w:pPr>
            <w:r w:rsidRPr="00B76AC1">
              <w:rPr>
                <w:b/>
                <w:bCs/>
                <w:lang w:eastAsia="en-US"/>
              </w:rPr>
              <w:t>1.82</w:t>
            </w:r>
          </w:p>
        </w:tc>
      </w:tr>
      <w:tr w:rsidR="00EB48D7" w14:paraId="66267A84" w14:textId="77777777" w:rsidTr="00B76AC1">
        <w:tc>
          <w:tcPr>
            <w:tcW w:w="4536" w:type="dxa"/>
            <w:gridSpan w:val="2"/>
            <w:tcBorders>
              <w:top w:val="nil"/>
              <w:left w:val="single" w:sz="4" w:space="0" w:color="auto"/>
              <w:bottom w:val="nil"/>
              <w:right w:val="single" w:sz="4" w:space="0" w:color="auto"/>
            </w:tcBorders>
          </w:tcPr>
          <w:p w14:paraId="33C1DD61" w14:textId="77777777" w:rsidR="00EB48D7" w:rsidRPr="0072545C" w:rsidRDefault="00EB48D7" w:rsidP="00520F95">
            <w:pPr>
              <w:spacing w:line="256" w:lineRule="auto"/>
              <w:rPr>
                <w:b/>
                <w:highlight w:val="yellow"/>
                <w:lang w:eastAsia="en-US"/>
              </w:rPr>
            </w:pPr>
          </w:p>
        </w:tc>
        <w:tc>
          <w:tcPr>
            <w:tcW w:w="2126" w:type="dxa"/>
            <w:tcBorders>
              <w:top w:val="nil"/>
              <w:left w:val="single" w:sz="4" w:space="0" w:color="auto"/>
              <w:bottom w:val="nil"/>
              <w:right w:val="single" w:sz="4" w:space="0" w:color="auto"/>
            </w:tcBorders>
            <w:vAlign w:val="center"/>
          </w:tcPr>
          <w:p w14:paraId="2F56B2F9" w14:textId="77777777" w:rsidR="00EB48D7" w:rsidRPr="00B76AC1" w:rsidRDefault="00EB48D7" w:rsidP="00194D26">
            <w:pPr>
              <w:spacing w:line="256" w:lineRule="auto"/>
              <w:jc w:val="center"/>
              <w:rPr>
                <w:b/>
                <w:lang w:eastAsia="en-US"/>
              </w:rPr>
            </w:pPr>
          </w:p>
        </w:tc>
        <w:tc>
          <w:tcPr>
            <w:tcW w:w="1407" w:type="dxa"/>
            <w:tcBorders>
              <w:top w:val="nil"/>
              <w:left w:val="single" w:sz="4" w:space="0" w:color="auto"/>
              <w:bottom w:val="nil"/>
              <w:right w:val="single" w:sz="4" w:space="0" w:color="auto"/>
            </w:tcBorders>
          </w:tcPr>
          <w:p w14:paraId="2C1CC10B" w14:textId="77777777" w:rsidR="00EB48D7" w:rsidRPr="00B76AC1" w:rsidRDefault="00EB48D7" w:rsidP="00520F95">
            <w:pPr>
              <w:spacing w:line="256" w:lineRule="auto"/>
              <w:jc w:val="right"/>
              <w:rPr>
                <w:b/>
                <w:lang w:eastAsia="en-US"/>
              </w:rPr>
            </w:pPr>
          </w:p>
        </w:tc>
      </w:tr>
      <w:tr w:rsidR="00EB48D7" w14:paraId="48F6045B" w14:textId="77777777" w:rsidTr="00B76AC1">
        <w:tc>
          <w:tcPr>
            <w:tcW w:w="4536" w:type="dxa"/>
            <w:gridSpan w:val="2"/>
            <w:tcBorders>
              <w:top w:val="nil"/>
              <w:left w:val="single" w:sz="4" w:space="0" w:color="auto"/>
              <w:bottom w:val="single" w:sz="4" w:space="0" w:color="auto"/>
              <w:right w:val="single" w:sz="4" w:space="0" w:color="auto"/>
            </w:tcBorders>
            <w:hideMark/>
          </w:tcPr>
          <w:p w14:paraId="6D370AA5" w14:textId="77777777" w:rsidR="00EB48D7" w:rsidRPr="00995167" w:rsidRDefault="00EB48D7" w:rsidP="00520F95">
            <w:pPr>
              <w:spacing w:line="256" w:lineRule="auto"/>
              <w:rPr>
                <w:b/>
                <w:lang w:eastAsia="en-US"/>
              </w:rPr>
            </w:pPr>
            <w:r w:rsidRPr="00995167">
              <w:rPr>
                <w:b/>
                <w:lang w:eastAsia="en-US"/>
              </w:rPr>
              <w:t xml:space="preserve">Net Borrowing </w:t>
            </w:r>
          </w:p>
        </w:tc>
        <w:tc>
          <w:tcPr>
            <w:tcW w:w="2126" w:type="dxa"/>
            <w:tcBorders>
              <w:top w:val="nil"/>
              <w:left w:val="single" w:sz="4" w:space="0" w:color="auto"/>
              <w:bottom w:val="single" w:sz="4" w:space="0" w:color="auto"/>
              <w:right w:val="single" w:sz="4" w:space="0" w:color="auto"/>
            </w:tcBorders>
            <w:vAlign w:val="center"/>
          </w:tcPr>
          <w:p w14:paraId="73A03CF9" w14:textId="77777777" w:rsidR="00EB48D7" w:rsidRPr="00194D26" w:rsidRDefault="00772E5E" w:rsidP="0004267C">
            <w:pPr>
              <w:spacing w:line="256" w:lineRule="auto"/>
              <w:jc w:val="center"/>
              <w:rPr>
                <w:b/>
                <w:bCs/>
                <w:lang w:eastAsia="en-US"/>
              </w:rPr>
            </w:pPr>
            <w:r w:rsidRPr="00194D26">
              <w:rPr>
                <w:b/>
                <w:bCs/>
                <w:lang w:eastAsia="en-US"/>
              </w:rPr>
              <w:t>467.659</w:t>
            </w:r>
          </w:p>
        </w:tc>
        <w:tc>
          <w:tcPr>
            <w:tcW w:w="1407" w:type="dxa"/>
            <w:tcBorders>
              <w:top w:val="nil"/>
              <w:left w:val="single" w:sz="4" w:space="0" w:color="auto"/>
              <w:bottom w:val="single" w:sz="4" w:space="0" w:color="auto"/>
              <w:right w:val="single" w:sz="4" w:space="0" w:color="auto"/>
            </w:tcBorders>
          </w:tcPr>
          <w:p w14:paraId="654FFEFC" w14:textId="77777777" w:rsidR="00EB48D7" w:rsidRPr="00B76AC1" w:rsidRDefault="00772E5E" w:rsidP="001768FF">
            <w:pPr>
              <w:spacing w:line="256" w:lineRule="auto"/>
              <w:jc w:val="center"/>
              <w:rPr>
                <w:b/>
                <w:lang w:eastAsia="en-US"/>
              </w:rPr>
            </w:pPr>
            <w:r w:rsidRPr="00B76AC1">
              <w:rPr>
                <w:b/>
                <w:lang w:eastAsia="en-US"/>
              </w:rPr>
              <w:t>2.</w:t>
            </w:r>
            <w:r w:rsidR="001768FF" w:rsidRPr="00B76AC1">
              <w:rPr>
                <w:b/>
                <w:lang w:eastAsia="en-US"/>
              </w:rPr>
              <w:t>2</w:t>
            </w:r>
            <w:r w:rsidRPr="00B76AC1">
              <w:rPr>
                <w:b/>
                <w:lang w:eastAsia="en-US"/>
              </w:rPr>
              <w:t>7</w:t>
            </w:r>
          </w:p>
        </w:tc>
      </w:tr>
    </w:tbl>
    <w:p w14:paraId="2111E5BC" w14:textId="77777777" w:rsidR="00EB48D7" w:rsidRDefault="00EB48D7" w:rsidP="00EB48D7">
      <w:pPr>
        <w:jc w:val="both"/>
      </w:pPr>
    </w:p>
    <w:p w14:paraId="46A72C7F" w14:textId="77777777" w:rsidR="00EB48D7" w:rsidRPr="0072545C" w:rsidRDefault="00EB48D7" w:rsidP="00EB48D7">
      <w:pPr>
        <w:jc w:val="both"/>
        <w:rPr>
          <w:highlight w:val="yellow"/>
        </w:rPr>
      </w:pPr>
    </w:p>
    <w:p w14:paraId="46B897B1" w14:textId="10D9D05B" w:rsidR="007D3888" w:rsidRPr="00C4784E" w:rsidRDefault="005A49A7" w:rsidP="008E2A12">
      <w:pPr>
        <w:pStyle w:val="ListParagraph"/>
        <w:ind w:left="0"/>
        <w:jc w:val="both"/>
      </w:pPr>
      <w:r>
        <w:t xml:space="preserve">The </w:t>
      </w:r>
      <w:r w:rsidR="007D3888" w:rsidRPr="00C4784E">
        <w:t>average rate for borrowings</w:t>
      </w:r>
      <w:r>
        <w:t xml:space="preserve"> included </w:t>
      </w:r>
      <w:r w:rsidR="00186F66">
        <w:t xml:space="preserve">in </w:t>
      </w:r>
      <w:r>
        <w:t>the current Medium Term Financial Strategy of the Council</w:t>
      </w:r>
      <w:r w:rsidR="007D3888" w:rsidRPr="00C4784E">
        <w:t xml:space="preserve"> is 2.02%</w:t>
      </w:r>
      <w:r w:rsidR="0076080F" w:rsidRPr="00C4784E">
        <w:t xml:space="preserve"> and </w:t>
      </w:r>
      <w:r>
        <w:t xml:space="preserve">the </w:t>
      </w:r>
      <w:r w:rsidR="0076080F" w:rsidRPr="00C4784E">
        <w:t>average rate for investments is 0.99% in 17-18</w:t>
      </w:r>
      <w:r>
        <w:t>.</w:t>
      </w:r>
    </w:p>
    <w:p w14:paraId="49799532" w14:textId="77777777" w:rsidR="00383F1D" w:rsidRDefault="00383F1D" w:rsidP="00F861B8">
      <w:pPr>
        <w:jc w:val="both"/>
        <w:rPr>
          <w:bCs/>
          <w:i/>
        </w:rPr>
      </w:pPr>
    </w:p>
    <w:p w14:paraId="585D8225" w14:textId="77777777" w:rsidR="004A19C1" w:rsidRDefault="004A19C1" w:rsidP="00F861B8">
      <w:pPr>
        <w:pStyle w:val="ListParagraph"/>
        <w:numPr>
          <w:ilvl w:val="0"/>
          <w:numId w:val="36"/>
        </w:numPr>
        <w:rPr>
          <w:b/>
        </w:rPr>
      </w:pPr>
      <w:r w:rsidRPr="00F861B8">
        <w:rPr>
          <w:b/>
        </w:rPr>
        <w:t>Borrowing Strategy</w:t>
      </w:r>
    </w:p>
    <w:p w14:paraId="16569D43" w14:textId="77777777" w:rsidR="00D60347" w:rsidRDefault="00D60347" w:rsidP="00D60347">
      <w:pPr>
        <w:rPr>
          <w:b/>
        </w:rPr>
      </w:pPr>
    </w:p>
    <w:p w14:paraId="13DBC253" w14:textId="77777777" w:rsidR="00D60347" w:rsidRPr="00D60347" w:rsidRDefault="00D60347" w:rsidP="00186F66">
      <w:pPr>
        <w:jc w:val="both"/>
        <w:rPr>
          <w:b/>
        </w:rPr>
      </w:pPr>
      <w:r w:rsidRPr="00D60347">
        <w:t>The Borrowing Strategy of the County Council will be determined by the need of the Authority to borrow and the impact of the economic climate outlined above</w:t>
      </w:r>
      <w:r>
        <w:rPr>
          <w:b/>
        </w:rPr>
        <w:t xml:space="preserve">. </w:t>
      </w:r>
    </w:p>
    <w:p w14:paraId="70BA995B" w14:textId="77777777" w:rsidR="0003446E" w:rsidRPr="00860EAE" w:rsidRDefault="0003446E" w:rsidP="00186F66">
      <w:pPr>
        <w:pStyle w:val="ListParagraph"/>
        <w:jc w:val="both"/>
      </w:pPr>
    </w:p>
    <w:p w14:paraId="419A2288" w14:textId="77777777" w:rsidR="00C13F68" w:rsidRPr="00232D8C" w:rsidRDefault="00C13F68" w:rsidP="00186F66">
      <w:pPr>
        <w:pStyle w:val="ListParagraph"/>
        <w:numPr>
          <w:ilvl w:val="1"/>
          <w:numId w:val="36"/>
        </w:numPr>
        <w:jc w:val="both"/>
        <w:rPr>
          <w:bCs/>
          <w:i/>
        </w:rPr>
      </w:pPr>
      <w:r w:rsidRPr="00232D8C">
        <w:rPr>
          <w:bCs/>
          <w:i/>
        </w:rPr>
        <w:t xml:space="preserve">The Level of the Approved Capital Programme – the Borrowing Requirement </w:t>
      </w:r>
    </w:p>
    <w:p w14:paraId="512B9997" w14:textId="77777777" w:rsidR="00232D8C" w:rsidRPr="00232D8C" w:rsidRDefault="00232D8C" w:rsidP="00186F66">
      <w:pPr>
        <w:jc w:val="both"/>
        <w:rPr>
          <w:bCs/>
          <w:i/>
        </w:rPr>
      </w:pPr>
    </w:p>
    <w:p w14:paraId="10B01C10" w14:textId="77777777" w:rsidR="007C242E" w:rsidRDefault="003B6484" w:rsidP="00186F66">
      <w:pPr>
        <w:jc w:val="both"/>
      </w:pPr>
      <w:r>
        <w:t>The County Council borrows for capital purposes with t</w:t>
      </w:r>
      <w:r w:rsidR="00232D8C" w:rsidRPr="00232D8C">
        <w:t xml:space="preserve">he </w:t>
      </w:r>
      <w:r w:rsidR="00232D8C">
        <w:t xml:space="preserve">underlying need to borrow for capital purposes </w:t>
      </w:r>
      <w:r>
        <w:t>being</w:t>
      </w:r>
      <w:r w:rsidR="00232D8C">
        <w:t xml:space="preserve"> measured by the </w:t>
      </w:r>
      <w:r w:rsidR="008F6986">
        <w:t>C</w:t>
      </w:r>
      <w:r w:rsidR="00232D8C">
        <w:t>apital</w:t>
      </w:r>
      <w:r w:rsidR="008F6986">
        <w:t xml:space="preserve"> Financing Requirement (CFR)</w:t>
      </w:r>
      <w:r>
        <w:t>.</w:t>
      </w:r>
      <w:r w:rsidR="008F6986">
        <w:t xml:space="preserve"> </w:t>
      </w:r>
      <w:r w:rsidR="008F6986" w:rsidRPr="008F6986">
        <w:t>CIPFA’s Prudential Code for Capital Finance in Local Authorities recommends that the Authority’s total debt should be lower than its highest forecast CFR over the next three years</w:t>
      </w:r>
      <w:r>
        <w:t>.</w:t>
      </w:r>
      <w:r w:rsidR="00232D8C">
        <w:t xml:space="preserve"> </w:t>
      </w:r>
    </w:p>
    <w:p w14:paraId="4F313BFF" w14:textId="77777777" w:rsidR="008F6986" w:rsidRPr="00232D8C" w:rsidRDefault="008F6986" w:rsidP="00186F66">
      <w:pPr>
        <w:jc w:val="both"/>
      </w:pPr>
    </w:p>
    <w:p w14:paraId="2ED78998" w14:textId="77777777" w:rsidR="00C13F68" w:rsidRDefault="00C13F68" w:rsidP="00186F66">
      <w:pPr>
        <w:jc w:val="both"/>
      </w:pPr>
      <w:r w:rsidRPr="00860EAE">
        <w:t xml:space="preserve">The estimated borrowing </w:t>
      </w:r>
      <w:r w:rsidR="0071222F" w:rsidRPr="00860EAE">
        <w:t xml:space="preserve">requirement </w:t>
      </w:r>
      <w:r w:rsidR="0071222F">
        <w:t>in</w:t>
      </w:r>
      <w:r w:rsidR="003B6484">
        <w:t xml:space="preserve"> any year will depend upon new borrowing for financing the Capital Programme, replacing existing debt that has matured in the year and the charge made to revenue for the repayment of debt. The position </w:t>
      </w:r>
      <w:r w:rsidR="0071222F">
        <w:t xml:space="preserve">for </w:t>
      </w:r>
      <w:r w:rsidR="0071222F" w:rsidRPr="00860EAE">
        <w:t>next</w:t>
      </w:r>
      <w:r w:rsidRPr="00860EAE">
        <w:t xml:space="preserve"> three years is as follows:</w:t>
      </w:r>
    </w:p>
    <w:p w14:paraId="1DC64B89" w14:textId="77777777" w:rsidR="00383F1D" w:rsidRDefault="00383F1D" w:rsidP="00C13F68"/>
    <w:p w14:paraId="7486C9D9" w14:textId="77777777" w:rsidR="00B63452" w:rsidRDefault="00B63452" w:rsidP="00C13F68"/>
    <w:p w14:paraId="71FA780D" w14:textId="77777777" w:rsidR="00B63452" w:rsidRDefault="00B63452" w:rsidP="00C13F68"/>
    <w:p w14:paraId="0F1AF5F9" w14:textId="77777777" w:rsidR="00186F66" w:rsidRDefault="00186F66" w:rsidP="00C13F68"/>
    <w:p w14:paraId="30DC6C0E" w14:textId="77777777" w:rsidR="00B63452" w:rsidRDefault="00B63452" w:rsidP="00C13F68"/>
    <w:p w14:paraId="5B4C8CE7" w14:textId="2F8A1588" w:rsidR="00383F1D" w:rsidRPr="00860EAE" w:rsidRDefault="00820C99" w:rsidP="00C13F68">
      <w:r>
        <w:t>Table 2: Estimated Borrowing Requirement</w:t>
      </w:r>
    </w:p>
    <w:p w14:paraId="22C6545C" w14:textId="77777777" w:rsidR="00C13F68" w:rsidRPr="001143BB" w:rsidRDefault="00C13F68" w:rsidP="00C13F68">
      <w:pPr>
        <w:rPr>
          <w:highlight w:val="yellow"/>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224"/>
        <w:gridCol w:w="1224"/>
        <w:gridCol w:w="1114"/>
        <w:gridCol w:w="1334"/>
      </w:tblGrid>
      <w:tr w:rsidR="00C13F68" w:rsidRPr="001143BB" w14:paraId="29AED76E" w14:textId="77777777" w:rsidTr="00C13F68">
        <w:tc>
          <w:tcPr>
            <w:tcW w:w="3888" w:type="dxa"/>
            <w:tcBorders>
              <w:top w:val="single" w:sz="4" w:space="0" w:color="auto"/>
            </w:tcBorders>
          </w:tcPr>
          <w:p w14:paraId="2D9F0A1E" w14:textId="77777777" w:rsidR="00C13F68" w:rsidRPr="001143BB" w:rsidRDefault="00C13F68" w:rsidP="00C13F68">
            <w:pPr>
              <w:rPr>
                <w:highlight w:val="yellow"/>
              </w:rPr>
            </w:pPr>
          </w:p>
        </w:tc>
        <w:tc>
          <w:tcPr>
            <w:tcW w:w="1224" w:type="dxa"/>
            <w:tcBorders>
              <w:top w:val="single" w:sz="4" w:space="0" w:color="auto"/>
            </w:tcBorders>
          </w:tcPr>
          <w:p w14:paraId="4953D952" w14:textId="77777777" w:rsidR="00C13F68" w:rsidRPr="00EC4635" w:rsidRDefault="00C13F68" w:rsidP="00D60347">
            <w:pPr>
              <w:jc w:val="right"/>
              <w:rPr>
                <w:b/>
                <w:bCs/>
              </w:rPr>
            </w:pPr>
            <w:r w:rsidRPr="00EC4635">
              <w:rPr>
                <w:b/>
                <w:bCs/>
              </w:rPr>
              <w:t>201</w:t>
            </w:r>
            <w:r w:rsidR="00D60347">
              <w:rPr>
                <w:b/>
                <w:bCs/>
              </w:rPr>
              <w:t>6</w:t>
            </w:r>
            <w:r w:rsidR="00EC4635" w:rsidRPr="00EC4635">
              <w:rPr>
                <w:b/>
                <w:bCs/>
              </w:rPr>
              <w:t>/</w:t>
            </w:r>
            <w:r w:rsidR="007365B3" w:rsidRPr="00EC4635">
              <w:rPr>
                <w:b/>
                <w:bCs/>
              </w:rPr>
              <w:t>1</w:t>
            </w:r>
            <w:r w:rsidR="00D60347">
              <w:rPr>
                <w:b/>
                <w:bCs/>
              </w:rPr>
              <w:t>7</w:t>
            </w:r>
            <w:r w:rsidRPr="00EC4635">
              <w:rPr>
                <w:b/>
                <w:bCs/>
              </w:rPr>
              <w:t xml:space="preserve"> Revised</w:t>
            </w:r>
          </w:p>
        </w:tc>
        <w:tc>
          <w:tcPr>
            <w:tcW w:w="1224" w:type="dxa"/>
            <w:tcBorders>
              <w:top w:val="single" w:sz="4" w:space="0" w:color="auto"/>
            </w:tcBorders>
            <w:vAlign w:val="center"/>
          </w:tcPr>
          <w:p w14:paraId="30C4F003" w14:textId="77777777" w:rsidR="00C13F68" w:rsidRPr="00EC4635" w:rsidRDefault="00C13F68" w:rsidP="00D60347">
            <w:pPr>
              <w:jc w:val="right"/>
              <w:rPr>
                <w:b/>
                <w:bCs/>
              </w:rPr>
            </w:pPr>
            <w:r w:rsidRPr="00EC4635">
              <w:rPr>
                <w:b/>
                <w:bCs/>
              </w:rPr>
              <w:t>201</w:t>
            </w:r>
            <w:r w:rsidR="00D60347">
              <w:rPr>
                <w:b/>
                <w:bCs/>
              </w:rPr>
              <w:t>7</w:t>
            </w:r>
            <w:r w:rsidR="007365B3" w:rsidRPr="00EC4635">
              <w:rPr>
                <w:b/>
                <w:bCs/>
              </w:rPr>
              <w:t>/1</w:t>
            </w:r>
            <w:r w:rsidR="00D60347">
              <w:rPr>
                <w:b/>
                <w:bCs/>
              </w:rPr>
              <w:t>8</w:t>
            </w:r>
          </w:p>
        </w:tc>
        <w:tc>
          <w:tcPr>
            <w:tcW w:w="1114" w:type="dxa"/>
            <w:tcBorders>
              <w:top w:val="single" w:sz="4" w:space="0" w:color="auto"/>
            </w:tcBorders>
            <w:vAlign w:val="center"/>
          </w:tcPr>
          <w:p w14:paraId="0E387909" w14:textId="77777777" w:rsidR="00C13F68" w:rsidRPr="00EC4635" w:rsidRDefault="00C13F68" w:rsidP="00D60347">
            <w:pPr>
              <w:jc w:val="right"/>
              <w:rPr>
                <w:b/>
                <w:bCs/>
              </w:rPr>
            </w:pPr>
            <w:r w:rsidRPr="00EC4635">
              <w:rPr>
                <w:b/>
                <w:bCs/>
              </w:rPr>
              <w:t>201</w:t>
            </w:r>
            <w:r w:rsidR="00D60347">
              <w:rPr>
                <w:b/>
                <w:bCs/>
              </w:rPr>
              <w:t>8</w:t>
            </w:r>
            <w:r w:rsidR="007365B3" w:rsidRPr="00EC4635">
              <w:rPr>
                <w:b/>
                <w:bCs/>
              </w:rPr>
              <w:t>/1</w:t>
            </w:r>
            <w:r w:rsidR="00D60347">
              <w:rPr>
                <w:b/>
                <w:bCs/>
              </w:rPr>
              <w:t>9</w:t>
            </w:r>
          </w:p>
        </w:tc>
        <w:tc>
          <w:tcPr>
            <w:tcW w:w="1334" w:type="dxa"/>
            <w:tcBorders>
              <w:top w:val="single" w:sz="4" w:space="0" w:color="auto"/>
            </w:tcBorders>
            <w:vAlign w:val="center"/>
          </w:tcPr>
          <w:p w14:paraId="27880EDC" w14:textId="77777777" w:rsidR="00C13F68" w:rsidRPr="00EC4635" w:rsidRDefault="00C13F68" w:rsidP="00D60347">
            <w:pPr>
              <w:jc w:val="right"/>
              <w:rPr>
                <w:b/>
                <w:bCs/>
              </w:rPr>
            </w:pPr>
            <w:r w:rsidRPr="00EC4635">
              <w:rPr>
                <w:b/>
                <w:bCs/>
              </w:rPr>
              <w:t>201</w:t>
            </w:r>
            <w:r w:rsidR="00D60347">
              <w:rPr>
                <w:b/>
                <w:bCs/>
              </w:rPr>
              <w:t>9</w:t>
            </w:r>
            <w:r w:rsidR="000C3158" w:rsidRPr="00EC4635">
              <w:rPr>
                <w:b/>
                <w:bCs/>
              </w:rPr>
              <w:t>/</w:t>
            </w:r>
            <w:r w:rsidR="00D60347">
              <w:rPr>
                <w:b/>
                <w:bCs/>
              </w:rPr>
              <w:t>20</w:t>
            </w:r>
          </w:p>
        </w:tc>
      </w:tr>
      <w:tr w:rsidR="00C13F68" w:rsidRPr="001143BB" w14:paraId="5A4BF0EA" w14:textId="77777777" w:rsidTr="00C13F68">
        <w:tc>
          <w:tcPr>
            <w:tcW w:w="3888" w:type="dxa"/>
          </w:tcPr>
          <w:p w14:paraId="338B51B5" w14:textId="77777777" w:rsidR="00C13F68" w:rsidRPr="001143BB" w:rsidRDefault="00C13F68" w:rsidP="00C13F68">
            <w:pPr>
              <w:spacing w:after="120"/>
              <w:rPr>
                <w:highlight w:val="yellow"/>
              </w:rPr>
            </w:pPr>
          </w:p>
        </w:tc>
        <w:tc>
          <w:tcPr>
            <w:tcW w:w="1224" w:type="dxa"/>
          </w:tcPr>
          <w:p w14:paraId="02CA4FD2" w14:textId="77777777" w:rsidR="00C13F68" w:rsidRPr="00EC4635" w:rsidRDefault="00C13F68" w:rsidP="00C13F68">
            <w:pPr>
              <w:spacing w:after="120"/>
              <w:jc w:val="center"/>
              <w:rPr>
                <w:b/>
                <w:bCs/>
              </w:rPr>
            </w:pPr>
            <w:r w:rsidRPr="00EC4635">
              <w:rPr>
                <w:b/>
                <w:bCs/>
              </w:rPr>
              <w:t xml:space="preserve">   £m</w:t>
            </w:r>
          </w:p>
        </w:tc>
        <w:tc>
          <w:tcPr>
            <w:tcW w:w="1224" w:type="dxa"/>
          </w:tcPr>
          <w:p w14:paraId="2664CE35" w14:textId="77777777" w:rsidR="00C13F68" w:rsidRPr="00EC4635" w:rsidRDefault="00C13F68" w:rsidP="00C13F68">
            <w:pPr>
              <w:spacing w:after="120"/>
              <w:jc w:val="center"/>
              <w:rPr>
                <w:b/>
                <w:bCs/>
              </w:rPr>
            </w:pPr>
            <w:r w:rsidRPr="00EC4635">
              <w:rPr>
                <w:b/>
                <w:bCs/>
              </w:rPr>
              <w:t xml:space="preserve">   £m</w:t>
            </w:r>
          </w:p>
        </w:tc>
        <w:tc>
          <w:tcPr>
            <w:tcW w:w="1114" w:type="dxa"/>
          </w:tcPr>
          <w:p w14:paraId="04479376" w14:textId="77777777" w:rsidR="00C13F68" w:rsidRPr="00EC4635" w:rsidRDefault="00C13F68" w:rsidP="00C13F68">
            <w:pPr>
              <w:spacing w:after="120"/>
              <w:jc w:val="center"/>
              <w:rPr>
                <w:b/>
                <w:bCs/>
              </w:rPr>
            </w:pPr>
            <w:r w:rsidRPr="00EC4635">
              <w:rPr>
                <w:b/>
                <w:bCs/>
              </w:rPr>
              <w:t xml:space="preserve">  £m</w:t>
            </w:r>
          </w:p>
        </w:tc>
        <w:tc>
          <w:tcPr>
            <w:tcW w:w="1334" w:type="dxa"/>
          </w:tcPr>
          <w:p w14:paraId="48F0D5EE" w14:textId="77777777" w:rsidR="00C13F68" w:rsidRPr="00EC4635" w:rsidRDefault="00C13F68" w:rsidP="00C13F68">
            <w:pPr>
              <w:spacing w:after="120"/>
              <w:jc w:val="center"/>
              <w:rPr>
                <w:b/>
                <w:bCs/>
              </w:rPr>
            </w:pPr>
            <w:r w:rsidRPr="00EC4635">
              <w:rPr>
                <w:b/>
                <w:bCs/>
              </w:rPr>
              <w:t xml:space="preserve">    £m</w:t>
            </w:r>
          </w:p>
        </w:tc>
      </w:tr>
      <w:tr w:rsidR="00C13F68" w:rsidRPr="001143BB" w14:paraId="2A221486" w14:textId="77777777" w:rsidTr="00C13F68">
        <w:tc>
          <w:tcPr>
            <w:tcW w:w="3888" w:type="dxa"/>
          </w:tcPr>
          <w:p w14:paraId="2E66189A" w14:textId="77777777" w:rsidR="00C13F68" w:rsidRPr="00652140" w:rsidRDefault="00C13F68" w:rsidP="00C13F68">
            <w:pPr>
              <w:spacing w:after="240"/>
              <w:rPr>
                <w:b/>
              </w:rPr>
            </w:pPr>
            <w:r w:rsidRPr="00652140">
              <w:rPr>
                <w:b/>
              </w:rPr>
              <w:t>Capital Programme Expenditure</w:t>
            </w:r>
          </w:p>
        </w:tc>
        <w:tc>
          <w:tcPr>
            <w:tcW w:w="1224" w:type="dxa"/>
          </w:tcPr>
          <w:p w14:paraId="1DCA8C63" w14:textId="77777777" w:rsidR="00C13F68" w:rsidRPr="00EC4635" w:rsidRDefault="00274546" w:rsidP="009C4F1A">
            <w:pPr>
              <w:jc w:val="right"/>
              <w:rPr>
                <w:b/>
              </w:rPr>
            </w:pPr>
            <w:r>
              <w:rPr>
                <w:b/>
              </w:rPr>
              <w:t>151.510</w:t>
            </w:r>
          </w:p>
        </w:tc>
        <w:tc>
          <w:tcPr>
            <w:tcW w:w="1224" w:type="dxa"/>
          </w:tcPr>
          <w:p w14:paraId="7E786D88" w14:textId="7EBCD7C3" w:rsidR="00C13F68" w:rsidRPr="00EC4635" w:rsidRDefault="0099124C" w:rsidP="0099124C">
            <w:pPr>
              <w:jc w:val="right"/>
              <w:rPr>
                <w:b/>
              </w:rPr>
            </w:pPr>
            <w:r>
              <w:rPr>
                <w:b/>
              </w:rPr>
              <w:t>126.184</w:t>
            </w:r>
          </w:p>
        </w:tc>
        <w:tc>
          <w:tcPr>
            <w:tcW w:w="1114" w:type="dxa"/>
          </w:tcPr>
          <w:p w14:paraId="6D0EE3C1" w14:textId="77777777" w:rsidR="00C13F68" w:rsidRPr="00EC4635" w:rsidRDefault="00462863" w:rsidP="002466E3">
            <w:pPr>
              <w:jc w:val="right"/>
              <w:rPr>
                <w:b/>
              </w:rPr>
            </w:pPr>
            <w:r>
              <w:rPr>
                <w:b/>
              </w:rPr>
              <w:t>94.993</w:t>
            </w:r>
          </w:p>
        </w:tc>
        <w:tc>
          <w:tcPr>
            <w:tcW w:w="1334" w:type="dxa"/>
          </w:tcPr>
          <w:p w14:paraId="6F444BEF" w14:textId="77777777" w:rsidR="00C13F68" w:rsidRPr="00EC4635" w:rsidRDefault="00462863" w:rsidP="00C13F68">
            <w:pPr>
              <w:jc w:val="right"/>
              <w:rPr>
                <w:b/>
              </w:rPr>
            </w:pPr>
            <w:r>
              <w:rPr>
                <w:b/>
              </w:rPr>
              <w:t>26.081</w:t>
            </w:r>
          </w:p>
        </w:tc>
      </w:tr>
      <w:tr w:rsidR="00C13F68" w:rsidRPr="001143BB" w14:paraId="07645AB2" w14:textId="77777777" w:rsidTr="00C13F68">
        <w:tc>
          <w:tcPr>
            <w:tcW w:w="3888" w:type="dxa"/>
          </w:tcPr>
          <w:p w14:paraId="787A2687" w14:textId="77777777" w:rsidR="00C13F68" w:rsidRPr="00274546" w:rsidRDefault="00274546" w:rsidP="00C13F68">
            <w:pPr>
              <w:spacing w:after="240"/>
              <w:rPr>
                <w:i/>
              </w:rPr>
            </w:pPr>
            <w:r>
              <w:rPr>
                <w:i/>
              </w:rPr>
              <w:t>Financed by:</w:t>
            </w:r>
          </w:p>
        </w:tc>
        <w:tc>
          <w:tcPr>
            <w:tcW w:w="1224" w:type="dxa"/>
          </w:tcPr>
          <w:p w14:paraId="0124FEAF" w14:textId="77777777" w:rsidR="00C13F68" w:rsidRPr="00DE3471" w:rsidRDefault="00C13F68" w:rsidP="00C13F68">
            <w:pPr>
              <w:jc w:val="right"/>
            </w:pPr>
          </w:p>
        </w:tc>
        <w:tc>
          <w:tcPr>
            <w:tcW w:w="1224" w:type="dxa"/>
          </w:tcPr>
          <w:p w14:paraId="034B39F3" w14:textId="77777777" w:rsidR="00C13F68" w:rsidRPr="00DE3471" w:rsidRDefault="00C13F68" w:rsidP="00C13F68">
            <w:pPr>
              <w:jc w:val="right"/>
            </w:pPr>
          </w:p>
        </w:tc>
        <w:tc>
          <w:tcPr>
            <w:tcW w:w="1114" w:type="dxa"/>
          </w:tcPr>
          <w:p w14:paraId="77FABF7F" w14:textId="77777777" w:rsidR="00C13F68" w:rsidRPr="00DE3471" w:rsidRDefault="00C13F68" w:rsidP="00C13F68">
            <w:pPr>
              <w:jc w:val="right"/>
            </w:pPr>
          </w:p>
        </w:tc>
        <w:tc>
          <w:tcPr>
            <w:tcW w:w="1334" w:type="dxa"/>
          </w:tcPr>
          <w:p w14:paraId="69915485" w14:textId="77777777" w:rsidR="00C13F68" w:rsidRPr="00DE3471" w:rsidRDefault="00C13F68" w:rsidP="00C13F68">
            <w:pPr>
              <w:jc w:val="right"/>
            </w:pPr>
          </w:p>
        </w:tc>
      </w:tr>
      <w:tr w:rsidR="00274546" w:rsidRPr="001143BB" w14:paraId="190375FD" w14:textId="77777777" w:rsidTr="00C13F68">
        <w:tc>
          <w:tcPr>
            <w:tcW w:w="3888" w:type="dxa"/>
          </w:tcPr>
          <w:p w14:paraId="2FF8131D" w14:textId="77777777" w:rsidR="00274546" w:rsidRPr="00652140" w:rsidRDefault="00274546" w:rsidP="00C13F68">
            <w:pPr>
              <w:spacing w:after="240"/>
            </w:pPr>
            <w:r>
              <w:t>Capital Receipts</w:t>
            </w:r>
          </w:p>
        </w:tc>
        <w:tc>
          <w:tcPr>
            <w:tcW w:w="1224" w:type="dxa"/>
          </w:tcPr>
          <w:p w14:paraId="5B021F11" w14:textId="77777777" w:rsidR="00274546" w:rsidRPr="00DE3471" w:rsidRDefault="00274546" w:rsidP="00C13F68">
            <w:pPr>
              <w:jc w:val="right"/>
            </w:pPr>
            <w:r>
              <w:t>0</w:t>
            </w:r>
          </w:p>
        </w:tc>
        <w:tc>
          <w:tcPr>
            <w:tcW w:w="1224" w:type="dxa"/>
          </w:tcPr>
          <w:p w14:paraId="7B6EBFB7" w14:textId="77777777" w:rsidR="00274546" w:rsidRPr="00DE3471" w:rsidRDefault="00274546">
            <w:pPr>
              <w:jc w:val="right"/>
            </w:pPr>
            <w:r>
              <w:t>1.036</w:t>
            </w:r>
          </w:p>
        </w:tc>
        <w:tc>
          <w:tcPr>
            <w:tcW w:w="1114" w:type="dxa"/>
          </w:tcPr>
          <w:p w14:paraId="62BDC8F0" w14:textId="77777777" w:rsidR="00274546" w:rsidRPr="00DE3471" w:rsidRDefault="00274546" w:rsidP="00C13F68">
            <w:pPr>
              <w:jc w:val="right"/>
            </w:pPr>
            <w:r>
              <w:t>0</w:t>
            </w:r>
          </w:p>
        </w:tc>
        <w:tc>
          <w:tcPr>
            <w:tcW w:w="1334" w:type="dxa"/>
          </w:tcPr>
          <w:p w14:paraId="25D289F6" w14:textId="77777777" w:rsidR="00274546" w:rsidRPr="00DE3471" w:rsidRDefault="00274546" w:rsidP="00C13F68">
            <w:pPr>
              <w:jc w:val="right"/>
            </w:pPr>
            <w:r>
              <w:t>0</w:t>
            </w:r>
          </w:p>
        </w:tc>
      </w:tr>
      <w:tr w:rsidR="00C13F68" w:rsidRPr="001143BB" w14:paraId="3C2A567E" w14:textId="77777777" w:rsidTr="00C13F68">
        <w:tc>
          <w:tcPr>
            <w:tcW w:w="3888" w:type="dxa"/>
          </w:tcPr>
          <w:p w14:paraId="34D239A9" w14:textId="77777777" w:rsidR="00C13F68" w:rsidRPr="00652140" w:rsidRDefault="00C13F68" w:rsidP="00C13F68">
            <w:pPr>
              <w:spacing w:after="240"/>
            </w:pPr>
            <w:r w:rsidRPr="00652140">
              <w:t>Grants and Contributions</w:t>
            </w:r>
          </w:p>
        </w:tc>
        <w:tc>
          <w:tcPr>
            <w:tcW w:w="1224" w:type="dxa"/>
          </w:tcPr>
          <w:p w14:paraId="7FFADE8F" w14:textId="77777777" w:rsidR="00C13F68" w:rsidRPr="00DE3471" w:rsidRDefault="00274546" w:rsidP="00C13F68">
            <w:pPr>
              <w:jc w:val="right"/>
            </w:pPr>
            <w:r>
              <w:t>99.151</w:t>
            </w:r>
          </w:p>
        </w:tc>
        <w:tc>
          <w:tcPr>
            <w:tcW w:w="1224" w:type="dxa"/>
          </w:tcPr>
          <w:p w14:paraId="56390FCE" w14:textId="2DAE528C" w:rsidR="00C13F68" w:rsidRPr="00DE3471" w:rsidRDefault="0099124C">
            <w:pPr>
              <w:jc w:val="right"/>
            </w:pPr>
            <w:r>
              <w:t>101.286</w:t>
            </w:r>
          </w:p>
        </w:tc>
        <w:tc>
          <w:tcPr>
            <w:tcW w:w="1114" w:type="dxa"/>
          </w:tcPr>
          <w:p w14:paraId="6620356A" w14:textId="77777777" w:rsidR="00C13F68" w:rsidRPr="00DE3471" w:rsidRDefault="00274546" w:rsidP="00C13F68">
            <w:pPr>
              <w:jc w:val="right"/>
            </w:pPr>
            <w:r>
              <w:t>35.87</w:t>
            </w:r>
          </w:p>
        </w:tc>
        <w:tc>
          <w:tcPr>
            <w:tcW w:w="1334" w:type="dxa"/>
          </w:tcPr>
          <w:p w14:paraId="7CAE0CB4" w14:textId="77777777" w:rsidR="00C13F68" w:rsidRPr="00DE3471" w:rsidRDefault="00274546" w:rsidP="00C13F68">
            <w:pPr>
              <w:jc w:val="right"/>
            </w:pPr>
            <w:r>
              <w:t>2.479</w:t>
            </w:r>
          </w:p>
        </w:tc>
      </w:tr>
      <w:tr w:rsidR="00C13F68" w:rsidRPr="001143BB" w14:paraId="16D828DA" w14:textId="77777777" w:rsidTr="00C13F68">
        <w:tc>
          <w:tcPr>
            <w:tcW w:w="3888" w:type="dxa"/>
          </w:tcPr>
          <w:p w14:paraId="3F44F86A" w14:textId="77777777" w:rsidR="00C13F68" w:rsidRPr="00652140" w:rsidRDefault="00C13F68" w:rsidP="00C13F68">
            <w:pPr>
              <w:spacing w:after="240"/>
            </w:pPr>
            <w:r w:rsidRPr="00652140">
              <w:t>Revenue Contributions</w:t>
            </w:r>
          </w:p>
        </w:tc>
        <w:tc>
          <w:tcPr>
            <w:tcW w:w="1224" w:type="dxa"/>
          </w:tcPr>
          <w:p w14:paraId="53FACFC6" w14:textId="77777777" w:rsidR="00C13F68" w:rsidRPr="00DE3471" w:rsidRDefault="00AC775A" w:rsidP="00C13F68">
            <w:pPr>
              <w:jc w:val="right"/>
            </w:pPr>
            <w:r>
              <w:t>0</w:t>
            </w:r>
          </w:p>
        </w:tc>
        <w:tc>
          <w:tcPr>
            <w:tcW w:w="1224" w:type="dxa"/>
          </w:tcPr>
          <w:p w14:paraId="5801D3E4" w14:textId="77777777" w:rsidR="00C13F68" w:rsidRPr="00DE3471" w:rsidRDefault="00AC775A" w:rsidP="00C13F68">
            <w:pPr>
              <w:jc w:val="right"/>
            </w:pPr>
            <w:r>
              <w:t>0.727</w:t>
            </w:r>
          </w:p>
        </w:tc>
        <w:tc>
          <w:tcPr>
            <w:tcW w:w="1114" w:type="dxa"/>
          </w:tcPr>
          <w:p w14:paraId="592AC06C" w14:textId="77777777" w:rsidR="00C13F68" w:rsidRPr="00DE3471" w:rsidRDefault="00AC775A" w:rsidP="00985A8A">
            <w:pPr>
              <w:jc w:val="right"/>
            </w:pPr>
            <w:r>
              <w:t>0</w:t>
            </w:r>
          </w:p>
        </w:tc>
        <w:tc>
          <w:tcPr>
            <w:tcW w:w="1334" w:type="dxa"/>
          </w:tcPr>
          <w:p w14:paraId="5824CCF8" w14:textId="77777777" w:rsidR="00C13F68" w:rsidRPr="00DE3471" w:rsidRDefault="00AC775A">
            <w:pPr>
              <w:jc w:val="right"/>
            </w:pPr>
            <w:r>
              <w:t>0</w:t>
            </w:r>
          </w:p>
        </w:tc>
      </w:tr>
      <w:tr w:rsidR="00C13F68" w:rsidRPr="001143BB" w14:paraId="42B0A8F7" w14:textId="77777777" w:rsidTr="00C13F68">
        <w:tc>
          <w:tcPr>
            <w:tcW w:w="3888" w:type="dxa"/>
          </w:tcPr>
          <w:p w14:paraId="7DA3F61A" w14:textId="77777777" w:rsidR="00C13F68" w:rsidRPr="00652140" w:rsidRDefault="00C13F68" w:rsidP="00C13F68">
            <w:pPr>
              <w:spacing w:after="240"/>
              <w:rPr>
                <w:b/>
              </w:rPr>
            </w:pPr>
            <w:r w:rsidRPr="00652140">
              <w:rPr>
                <w:b/>
              </w:rPr>
              <w:t>Borrowing</w:t>
            </w:r>
          </w:p>
        </w:tc>
        <w:tc>
          <w:tcPr>
            <w:tcW w:w="1224" w:type="dxa"/>
          </w:tcPr>
          <w:p w14:paraId="16254B85" w14:textId="77777777" w:rsidR="00C13F68" w:rsidRPr="00BF0506" w:rsidRDefault="00462863" w:rsidP="00274546">
            <w:pPr>
              <w:jc w:val="right"/>
              <w:rPr>
                <w:b/>
              </w:rPr>
            </w:pPr>
            <w:r>
              <w:rPr>
                <w:b/>
              </w:rPr>
              <w:t>5</w:t>
            </w:r>
            <w:r w:rsidR="00274546">
              <w:rPr>
                <w:b/>
              </w:rPr>
              <w:t>2</w:t>
            </w:r>
            <w:r>
              <w:rPr>
                <w:b/>
              </w:rPr>
              <w:t>.359</w:t>
            </w:r>
          </w:p>
        </w:tc>
        <w:tc>
          <w:tcPr>
            <w:tcW w:w="1224" w:type="dxa"/>
          </w:tcPr>
          <w:p w14:paraId="2FCEDB66" w14:textId="1B587BC1" w:rsidR="00C13F68" w:rsidRPr="00BF0506" w:rsidRDefault="006C6C86" w:rsidP="00C13F68">
            <w:pPr>
              <w:jc w:val="right"/>
              <w:rPr>
                <w:b/>
              </w:rPr>
            </w:pPr>
            <w:r>
              <w:rPr>
                <w:b/>
              </w:rPr>
              <w:t>23.135</w:t>
            </w:r>
          </w:p>
        </w:tc>
        <w:tc>
          <w:tcPr>
            <w:tcW w:w="1114" w:type="dxa"/>
          </w:tcPr>
          <w:p w14:paraId="2DC3A6BB" w14:textId="77777777" w:rsidR="00C13F68" w:rsidRPr="00BF0506" w:rsidRDefault="00462863" w:rsidP="00C13F68">
            <w:pPr>
              <w:jc w:val="right"/>
              <w:rPr>
                <w:b/>
              </w:rPr>
            </w:pPr>
            <w:r>
              <w:rPr>
                <w:b/>
              </w:rPr>
              <w:t>59.123</w:t>
            </w:r>
          </w:p>
        </w:tc>
        <w:tc>
          <w:tcPr>
            <w:tcW w:w="1334" w:type="dxa"/>
          </w:tcPr>
          <w:p w14:paraId="45E02322" w14:textId="77777777" w:rsidR="00C13F68" w:rsidRPr="00BF0506" w:rsidRDefault="00462863" w:rsidP="00C13F68">
            <w:pPr>
              <w:jc w:val="right"/>
              <w:rPr>
                <w:b/>
              </w:rPr>
            </w:pPr>
            <w:r>
              <w:rPr>
                <w:b/>
              </w:rPr>
              <w:t>23.602</w:t>
            </w:r>
          </w:p>
        </w:tc>
      </w:tr>
      <w:tr w:rsidR="00C13F68" w:rsidRPr="001143BB" w14:paraId="39C21D91" w14:textId="77777777" w:rsidTr="00C13F68">
        <w:tc>
          <w:tcPr>
            <w:tcW w:w="3888" w:type="dxa"/>
          </w:tcPr>
          <w:p w14:paraId="0E4EEEDD" w14:textId="77777777" w:rsidR="00C13F68" w:rsidRPr="00BF0506" w:rsidRDefault="00C13F68" w:rsidP="00C13F68">
            <w:pPr>
              <w:spacing w:after="240"/>
            </w:pPr>
            <w:r w:rsidRPr="00BF0506">
              <w:rPr>
                <w:i/>
              </w:rPr>
              <w:t>Add Maturing Debt to be replaced</w:t>
            </w:r>
            <w:r w:rsidRPr="00BF0506">
              <w:t>:</w:t>
            </w:r>
          </w:p>
        </w:tc>
        <w:tc>
          <w:tcPr>
            <w:tcW w:w="1224" w:type="dxa"/>
          </w:tcPr>
          <w:p w14:paraId="052E53AE" w14:textId="77777777" w:rsidR="00C13F68" w:rsidRPr="00BF0506" w:rsidRDefault="00C13F68" w:rsidP="00C13F68">
            <w:pPr>
              <w:jc w:val="right"/>
            </w:pPr>
          </w:p>
        </w:tc>
        <w:tc>
          <w:tcPr>
            <w:tcW w:w="1224" w:type="dxa"/>
          </w:tcPr>
          <w:p w14:paraId="5D4CE0F3" w14:textId="77777777" w:rsidR="00C13F68" w:rsidRPr="00BF0506" w:rsidRDefault="00C13F68" w:rsidP="00C13F68">
            <w:pPr>
              <w:jc w:val="right"/>
            </w:pPr>
          </w:p>
        </w:tc>
        <w:tc>
          <w:tcPr>
            <w:tcW w:w="1114" w:type="dxa"/>
          </w:tcPr>
          <w:p w14:paraId="695EA098" w14:textId="77777777" w:rsidR="00C13F68" w:rsidRPr="00BF0506" w:rsidRDefault="00C13F68" w:rsidP="00C13F68">
            <w:pPr>
              <w:jc w:val="right"/>
            </w:pPr>
          </w:p>
        </w:tc>
        <w:tc>
          <w:tcPr>
            <w:tcW w:w="1334" w:type="dxa"/>
          </w:tcPr>
          <w:p w14:paraId="6E43CAA5" w14:textId="77777777" w:rsidR="00C13F68" w:rsidRPr="00BF0506" w:rsidRDefault="00C13F68" w:rsidP="00C13F68">
            <w:pPr>
              <w:jc w:val="right"/>
            </w:pPr>
          </w:p>
        </w:tc>
      </w:tr>
      <w:tr w:rsidR="00652140" w:rsidRPr="001143BB" w14:paraId="5535A0AE" w14:textId="77777777" w:rsidTr="00C13F68">
        <w:tc>
          <w:tcPr>
            <w:tcW w:w="3888" w:type="dxa"/>
          </w:tcPr>
          <w:p w14:paraId="66F526CE" w14:textId="77777777" w:rsidR="00652140" w:rsidRPr="00BF0506" w:rsidRDefault="00652140" w:rsidP="00652140">
            <w:pPr>
              <w:spacing w:after="240"/>
            </w:pPr>
            <w:r w:rsidRPr="00BF0506">
              <w:t>Long Term PWLB</w:t>
            </w:r>
          </w:p>
        </w:tc>
        <w:tc>
          <w:tcPr>
            <w:tcW w:w="1224" w:type="dxa"/>
          </w:tcPr>
          <w:p w14:paraId="65DE9296" w14:textId="77777777" w:rsidR="00652140" w:rsidRPr="00BF0506" w:rsidRDefault="000A3141" w:rsidP="00652140">
            <w:pPr>
              <w:jc w:val="right"/>
            </w:pPr>
            <w:r>
              <w:t>0</w:t>
            </w:r>
          </w:p>
        </w:tc>
        <w:tc>
          <w:tcPr>
            <w:tcW w:w="1224" w:type="dxa"/>
          </w:tcPr>
          <w:p w14:paraId="26AA77F5" w14:textId="77777777" w:rsidR="00652140" w:rsidRPr="00BF0506" w:rsidRDefault="00791840" w:rsidP="00652140">
            <w:pPr>
              <w:jc w:val="right"/>
            </w:pPr>
            <w:r>
              <w:t>0</w:t>
            </w:r>
          </w:p>
        </w:tc>
        <w:tc>
          <w:tcPr>
            <w:tcW w:w="1114" w:type="dxa"/>
          </w:tcPr>
          <w:p w14:paraId="74C8C852" w14:textId="77777777" w:rsidR="00652140" w:rsidRPr="00BF0506" w:rsidRDefault="000A3141" w:rsidP="00652140">
            <w:pPr>
              <w:jc w:val="right"/>
            </w:pPr>
            <w:r>
              <w:t>-7.500</w:t>
            </w:r>
          </w:p>
        </w:tc>
        <w:tc>
          <w:tcPr>
            <w:tcW w:w="1334" w:type="dxa"/>
          </w:tcPr>
          <w:p w14:paraId="55B9D538" w14:textId="77777777" w:rsidR="00652140" w:rsidRPr="00BF0506" w:rsidRDefault="000A3141" w:rsidP="00652140">
            <w:pPr>
              <w:jc w:val="right"/>
            </w:pPr>
            <w:r>
              <w:t>-7.500</w:t>
            </w:r>
          </w:p>
        </w:tc>
      </w:tr>
      <w:tr w:rsidR="000F4D23" w:rsidRPr="001143BB" w14:paraId="2BECE872" w14:textId="77777777" w:rsidTr="00C13F68">
        <w:tc>
          <w:tcPr>
            <w:tcW w:w="3888" w:type="dxa"/>
          </w:tcPr>
          <w:p w14:paraId="5F2F3FB9" w14:textId="2C9069CA" w:rsidR="000F4D23" w:rsidRPr="00BF0506" w:rsidRDefault="000F4D23" w:rsidP="000F4D23">
            <w:pPr>
              <w:spacing w:after="240"/>
            </w:pPr>
            <w:r w:rsidRPr="00BF0506">
              <w:t>Market Borrowing</w:t>
            </w:r>
          </w:p>
        </w:tc>
        <w:tc>
          <w:tcPr>
            <w:tcW w:w="1224" w:type="dxa"/>
          </w:tcPr>
          <w:p w14:paraId="32AC7CF1" w14:textId="77777777" w:rsidR="000F4D23" w:rsidRPr="00BF0506" w:rsidRDefault="00462863" w:rsidP="000F4D23">
            <w:pPr>
              <w:jc w:val="right"/>
            </w:pPr>
            <w:r>
              <w:t>67.000</w:t>
            </w:r>
          </w:p>
        </w:tc>
        <w:tc>
          <w:tcPr>
            <w:tcW w:w="1224" w:type="dxa"/>
          </w:tcPr>
          <w:p w14:paraId="1E41F023" w14:textId="77777777" w:rsidR="000F4D23" w:rsidRPr="00BF0506" w:rsidRDefault="00462863" w:rsidP="000F4D23">
            <w:pPr>
              <w:jc w:val="right"/>
            </w:pPr>
            <w:r>
              <w:t>284.500</w:t>
            </w:r>
          </w:p>
        </w:tc>
        <w:tc>
          <w:tcPr>
            <w:tcW w:w="1114" w:type="dxa"/>
          </w:tcPr>
          <w:p w14:paraId="62A6263C" w14:textId="77777777" w:rsidR="000F4D23" w:rsidRPr="00BF0506" w:rsidRDefault="00462863" w:rsidP="000F4D23">
            <w:pPr>
              <w:jc w:val="right"/>
            </w:pPr>
            <w:r>
              <w:t>161.000</w:t>
            </w:r>
          </w:p>
        </w:tc>
        <w:tc>
          <w:tcPr>
            <w:tcW w:w="1334" w:type="dxa"/>
          </w:tcPr>
          <w:p w14:paraId="1B15BC7E" w14:textId="77777777" w:rsidR="000F4D23" w:rsidRPr="00BF0506" w:rsidRDefault="00462863" w:rsidP="000F4D23">
            <w:pPr>
              <w:jc w:val="right"/>
            </w:pPr>
            <w:r>
              <w:t>27.500</w:t>
            </w:r>
          </w:p>
        </w:tc>
      </w:tr>
      <w:tr w:rsidR="007365B3" w:rsidRPr="001143BB" w14:paraId="1B011653" w14:textId="77777777" w:rsidTr="00C13F68">
        <w:tc>
          <w:tcPr>
            <w:tcW w:w="3888" w:type="dxa"/>
          </w:tcPr>
          <w:p w14:paraId="3A9E1982" w14:textId="77777777" w:rsidR="007365B3" w:rsidRPr="009B6DA8" w:rsidRDefault="007365B3" w:rsidP="007365B3">
            <w:pPr>
              <w:spacing w:after="240"/>
            </w:pPr>
            <w:r w:rsidRPr="009B6DA8">
              <w:t>Less Transferred Debt</w:t>
            </w:r>
          </w:p>
        </w:tc>
        <w:tc>
          <w:tcPr>
            <w:tcW w:w="1224" w:type="dxa"/>
          </w:tcPr>
          <w:p w14:paraId="5E455DA0" w14:textId="77777777" w:rsidR="007365B3" w:rsidRPr="009B6DA8" w:rsidRDefault="00E92599" w:rsidP="007365B3">
            <w:pPr>
              <w:jc w:val="right"/>
            </w:pPr>
            <w:r>
              <w:t>-1.700</w:t>
            </w:r>
          </w:p>
        </w:tc>
        <w:tc>
          <w:tcPr>
            <w:tcW w:w="1224" w:type="dxa"/>
          </w:tcPr>
          <w:p w14:paraId="2625B551" w14:textId="77777777" w:rsidR="007365B3" w:rsidRPr="009B6DA8" w:rsidRDefault="00E92599" w:rsidP="007365B3">
            <w:pPr>
              <w:jc w:val="right"/>
            </w:pPr>
            <w:r>
              <w:t>-1.642</w:t>
            </w:r>
          </w:p>
        </w:tc>
        <w:tc>
          <w:tcPr>
            <w:tcW w:w="1114" w:type="dxa"/>
          </w:tcPr>
          <w:p w14:paraId="0FA9B760" w14:textId="77777777" w:rsidR="007365B3" w:rsidRPr="009B6DA8" w:rsidRDefault="00E92599" w:rsidP="007365B3">
            <w:pPr>
              <w:jc w:val="right"/>
            </w:pPr>
            <w:r>
              <w:t>-1.586</w:t>
            </w:r>
          </w:p>
        </w:tc>
        <w:tc>
          <w:tcPr>
            <w:tcW w:w="1334" w:type="dxa"/>
          </w:tcPr>
          <w:p w14:paraId="7CEC9445" w14:textId="77777777" w:rsidR="007365B3" w:rsidRPr="00BF0506" w:rsidRDefault="00E92599" w:rsidP="007365B3">
            <w:pPr>
              <w:jc w:val="right"/>
            </w:pPr>
            <w:r>
              <w:t>-1.533</w:t>
            </w:r>
          </w:p>
        </w:tc>
      </w:tr>
      <w:tr w:rsidR="00C13F68" w:rsidRPr="001143BB" w14:paraId="68FC7AC5" w14:textId="77777777" w:rsidTr="00C13F68">
        <w:tc>
          <w:tcPr>
            <w:tcW w:w="3888" w:type="dxa"/>
          </w:tcPr>
          <w:p w14:paraId="13C2405A" w14:textId="77777777" w:rsidR="00C13F68" w:rsidRPr="009B6DA8" w:rsidRDefault="00C13F68" w:rsidP="00C13F68">
            <w:pPr>
              <w:spacing w:after="240"/>
            </w:pPr>
            <w:r w:rsidRPr="009B6DA8">
              <w:t>Less Statutory Charge to Revenue</w:t>
            </w:r>
            <w:r w:rsidR="00EB48D7">
              <w:t xml:space="preserve"> (MRP)</w:t>
            </w:r>
          </w:p>
        </w:tc>
        <w:tc>
          <w:tcPr>
            <w:tcW w:w="1224" w:type="dxa"/>
          </w:tcPr>
          <w:p w14:paraId="1E2B7A24" w14:textId="77777777" w:rsidR="00C13F68" w:rsidRPr="009B6DA8" w:rsidRDefault="000A3141" w:rsidP="0055635A">
            <w:pPr>
              <w:jc w:val="right"/>
            </w:pPr>
            <w:r>
              <w:t>-20.046</w:t>
            </w:r>
          </w:p>
        </w:tc>
        <w:tc>
          <w:tcPr>
            <w:tcW w:w="1224" w:type="dxa"/>
          </w:tcPr>
          <w:p w14:paraId="04F96876" w14:textId="77777777" w:rsidR="00C13F68" w:rsidRPr="009B6DA8" w:rsidRDefault="000A3141" w:rsidP="00507F04">
            <w:pPr>
              <w:jc w:val="right"/>
            </w:pPr>
            <w:r>
              <w:t>-21.383</w:t>
            </w:r>
          </w:p>
        </w:tc>
        <w:tc>
          <w:tcPr>
            <w:tcW w:w="1114" w:type="dxa"/>
          </w:tcPr>
          <w:p w14:paraId="6F291EE0" w14:textId="3B373995" w:rsidR="00C13F68" w:rsidRPr="009B6DA8" w:rsidRDefault="000A3141" w:rsidP="00EE36E9">
            <w:pPr>
              <w:jc w:val="right"/>
            </w:pPr>
            <w:r>
              <w:t>-</w:t>
            </w:r>
            <w:r w:rsidR="00EE36E9">
              <w:t>21.828</w:t>
            </w:r>
          </w:p>
        </w:tc>
        <w:tc>
          <w:tcPr>
            <w:tcW w:w="1334" w:type="dxa"/>
          </w:tcPr>
          <w:p w14:paraId="1792776E" w14:textId="50A8E2BE" w:rsidR="00C13F68" w:rsidRPr="009B6DA8" w:rsidRDefault="000A3141" w:rsidP="00EE36E9">
            <w:pPr>
              <w:jc w:val="right"/>
            </w:pPr>
            <w:r>
              <w:t>-</w:t>
            </w:r>
            <w:r w:rsidR="00EE36E9">
              <w:t>23.871</w:t>
            </w:r>
          </w:p>
        </w:tc>
      </w:tr>
      <w:tr w:rsidR="00C13F68" w:rsidRPr="001143BB" w14:paraId="6ED6B9D4" w14:textId="77777777" w:rsidTr="00C13F68">
        <w:trPr>
          <w:trHeight w:val="678"/>
        </w:trPr>
        <w:tc>
          <w:tcPr>
            <w:tcW w:w="3888" w:type="dxa"/>
            <w:tcBorders>
              <w:bottom w:val="single" w:sz="4" w:space="0" w:color="auto"/>
            </w:tcBorders>
          </w:tcPr>
          <w:p w14:paraId="38FEC02B" w14:textId="77777777" w:rsidR="00C13F68" w:rsidRPr="00BF0506" w:rsidRDefault="005D759F" w:rsidP="00C13F68">
            <w:pPr>
              <w:spacing w:after="240"/>
              <w:rPr>
                <w:b/>
                <w:bCs/>
              </w:rPr>
            </w:pPr>
            <w:r w:rsidRPr="00BF0506">
              <w:rPr>
                <w:b/>
                <w:bCs/>
              </w:rPr>
              <w:t xml:space="preserve">Total </w:t>
            </w:r>
            <w:r w:rsidR="00C13F68" w:rsidRPr="00BF0506">
              <w:rPr>
                <w:b/>
                <w:bCs/>
              </w:rPr>
              <w:t>Borrowing Requirement</w:t>
            </w:r>
          </w:p>
          <w:p w14:paraId="201EFAFA" w14:textId="77777777" w:rsidR="005E1440" w:rsidRPr="00BF0506" w:rsidRDefault="005E1440" w:rsidP="00C13F68">
            <w:pPr>
              <w:spacing w:after="240"/>
              <w:rPr>
                <w:b/>
                <w:bCs/>
              </w:rPr>
            </w:pPr>
          </w:p>
        </w:tc>
        <w:tc>
          <w:tcPr>
            <w:tcW w:w="1224" w:type="dxa"/>
            <w:tcBorders>
              <w:bottom w:val="single" w:sz="4" w:space="0" w:color="auto"/>
            </w:tcBorders>
          </w:tcPr>
          <w:p w14:paraId="5F8F1BFD" w14:textId="77777777" w:rsidR="005E1440" w:rsidRPr="00BF0506" w:rsidRDefault="00274546">
            <w:pPr>
              <w:jc w:val="right"/>
              <w:rPr>
                <w:b/>
                <w:bCs/>
              </w:rPr>
            </w:pPr>
            <w:r>
              <w:rPr>
                <w:b/>
                <w:bCs/>
              </w:rPr>
              <w:t>97.613</w:t>
            </w:r>
          </w:p>
        </w:tc>
        <w:tc>
          <w:tcPr>
            <w:tcW w:w="1224" w:type="dxa"/>
            <w:tcBorders>
              <w:bottom w:val="single" w:sz="4" w:space="0" w:color="auto"/>
            </w:tcBorders>
          </w:tcPr>
          <w:p w14:paraId="1031AA94" w14:textId="506FF48F" w:rsidR="005E1440" w:rsidRPr="00BF0506" w:rsidRDefault="00B76AC1" w:rsidP="00274546">
            <w:pPr>
              <w:jc w:val="right"/>
              <w:rPr>
                <w:b/>
                <w:bCs/>
              </w:rPr>
            </w:pPr>
            <w:r>
              <w:rPr>
                <w:b/>
                <w:bCs/>
              </w:rPr>
              <w:t>284.610</w:t>
            </w:r>
          </w:p>
        </w:tc>
        <w:tc>
          <w:tcPr>
            <w:tcW w:w="1114" w:type="dxa"/>
            <w:tcBorders>
              <w:bottom w:val="single" w:sz="4" w:space="0" w:color="auto"/>
            </w:tcBorders>
          </w:tcPr>
          <w:p w14:paraId="5C69B84B" w14:textId="7A0F7626" w:rsidR="005E1440" w:rsidRPr="00BF0506" w:rsidRDefault="00274546" w:rsidP="00EE36E9">
            <w:pPr>
              <w:jc w:val="right"/>
              <w:rPr>
                <w:b/>
                <w:bCs/>
              </w:rPr>
            </w:pPr>
            <w:r>
              <w:rPr>
                <w:b/>
                <w:bCs/>
              </w:rPr>
              <w:t>1</w:t>
            </w:r>
            <w:r w:rsidR="00EE36E9">
              <w:rPr>
                <w:b/>
                <w:bCs/>
              </w:rPr>
              <w:t>89.209</w:t>
            </w:r>
          </w:p>
        </w:tc>
        <w:tc>
          <w:tcPr>
            <w:tcW w:w="1334" w:type="dxa"/>
            <w:tcBorders>
              <w:bottom w:val="single" w:sz="4" w:space="0" w:color="auto"/>
            </w:tcBorders>
          </w:tcPr>
          <w:p w14:paraId="5ED00EDA" w14:textId="3E349BEC" w:rsidR="005E1440" w:rsidRPr="00BF0506" w:rsidRDefault="00274546" w:rsidP="00EE36E9">
            <w:pPr>
              <w:rPr>
                <w:b/>
                <w:bCs/>
              </w:rPr>
            </w:pPr>
            <w:r>
              <w:rPr>
                <w:b/>
                <w:bCs/>
              </w:rPr>
              <w:t xml:space="preserve">    </w:t>
            </w:r>
            <w:r w:rsidR="00EE36E9">
              <w:rPr>
                <w:b/>
                <w:bCs/>
              </w:rPr>
              <w:t>18.198</w:t>
            </w:r>
          </w:p>
        </w:tc>
      </w:tr>
    </w:tbl>
    <w:p w14:paraId="7C7BD315" w14:textId="77777777" w:rsidR="0071222F" w:rsidRDefault="0071222F" w:rsidP="00C13F68">
      <w:pPr>
        <w:jc w:val="both"/>
      </w:pPr>
    </w:p>
    <w:p w14:paraId="355DD2FA" w14:textId="77777777" w:rsidR="003B6484" w:rsidRDefault="003B6484" w:rsidP="00C13F68">
      <w:pPr>
        <w:jc w:val="both"/>
      </w:pPr>
      <w:r>
        <w:t xml:space="preserve">However, in assessing the need to borrow consideration </w:t>
      </w:r>
      <w:r w:rsidR="008E2A12">
        <w:t>should</w:t>
      </w:r>
      <w:r>
        <w:t xml:space="preserve"> be given to </w:t>
      </w:r>
      <w:r w:rsidR="008E2A12">
        <w:t>the requirement to</w:t>
      </w:r>
      <w:r w:rsidR="00520F95">
        <w:t xml:space="preserve"> </w:t>
      </w:r>
      <w:r>
        <w:t xml:space="preserve">borrow in the long term. The graph below compares the estimated CFR given the current approved Capital Programme, MRP policy and the debt </w:t>
      </w:r>
      <w:r w:rsidR="00520F95">
        <w:t xml:space="preserve">maturity </w:t>
      </w:r>
      <w:r>
        <w:t>position at 31 December 2016</w:t>
      </w:r>
      <w:r w:rsidR="005A49A7">
        <w:t>.</w:t>
      </w:r>
    </w:p>
    <w:p w14:paraId="6B738E85" w14:textId="77777777" w:rsidR="003B6484" w:rsidRDefault="003B6484" w:rsidP="00C13F68">
      <w:pPr>
        <w:jc w:val="both"/>
      </w:pPr>
    </w:p>
    <w:p w14:paraId="54A631A8" w14:textId="321A2D41" w:rsidR="006B27BA" w:rsidRDefault="002E5739" w:rsidP="00C13F68">
      <w:pPr>
        <w:jc w:val="both"/>
      </w:pPr>
      <w:r>
        <w:rPr>
          <w:noProof/>
        </w:rPr>
        <w:drawing>
          <wp:inline distT="0" distB="0" distL="0" distR="0" wp14:anchorId="3146D987" wp14:editId="406E696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6CBD705" w14:textId="6E0E9DBB" w:rsidR="006B27BA" w:rsidRDefault="006B27BA" w:rsidP="00C13F68">
      <w:pPr>
        <w:jc w:val="both"/>
      </w:pPr>
    </w:p>
    <w:p w14:paraId="16FEAD83" w14:textId="77777777" w:rsidR="0071222F" w:rsidRDefault="0071222F" w:rsidP="00760BC6">
      <w:pPr>
        <w:jc w:val="both"/>
      </w:pPr>
    </w:p>
    <w:p w14:paraId="43533735" w14:textId="77777777" w:rsidR="00760BC6" w:rsidRDefault="00760BC6" w:rsidP="00760BC6">
      <w:pPr>
        <w:jc w:val="both"/>
      </w:pPr>
      <w:r>
        <w:t>The graph demonstrates that there is a need</w:t>
      </w:r>
      <w:r w:rsidR="00EF4E3C">
        <w:t xml:space="preserve"> to</w:t>
      </w:r>
      <w:r>
        <w:t xml:space="preserve"> borrow</w:t>
      </w:r>
      <w:r w:rsidR="00547DD4">
        <w:t xml:space="preserve"> over the long term although the amount required reduces over time</w:t>
      </w:r>
      <w:r w:rsidR="00EF4E3C">
        <w:t>.</w:t>
      </w:r>
      <w:r>
        <w:t xml:space="preserve"> </w:t>
      </w:r>
      <w:r w:rsidR="00EF4E3C">
        <w:t>There is a</w:t>
      </w:r>
      <w:r>
        <w:t xml:space="preserve"> large requirement in the early years</w:t>
      </w:r>
      <w:r w:rsidR="00547DD4">
        <w:t>. This is</w:t>
      </w:r>
      <w:r>
        <w:t xml:space="preserve"> due to the</w:t>
      </w:r>
      <w:r w:rsidR="00547DD4">
        <w:t xml:space="preserve"> impact of the</w:t>
      </w:r>
      <w:r>
        <w:t xml:space="preserve"> approved Capital Programme and the need to replace existing debt as the County Council has followed a policy of taking short term loans to take advantage of existing market conditions.</w:t>
      </w:r>
      <w:r w:rsidR="00C01327">
        <w:t xml:space="preserve"> In addition </w:t>
      </w:r>
      <w:r w:rsidR="00547DD4">
        <w:t xml:space="preserve">the borrowing for capital </w:t>
      </w:r>
      <w:r w:rsidR="00C01327">
        <w:t>there is likely to be borrowing requirements for the shared investment scheme</w:t>
      </w:r>
      <w:r w:rsidR="00547DD4">
        <w:t>, City Deal</w:t>
      </w:r>
      <w:r w:rsidR="00C01327">
        <w:t xml:space="preserve"> and premiums which are outside the CFR.</w:t>
      </w:r>
    </w:p>
    <w:p w14:paraId="5C63BBE2" w14:textId="77777777" w:rsidR="003B6484" w:rsidRDefault="003B6484" w:rsidP="00C13F68">
      <w:pPr>
        <w:jc w:val="both"/>
      </w:pPr>
    </w:p>
    <w:p w14:paraId="792BA2AB" w14:textId="77777777" w:rsidR="00760BC6" w:rsidRDefault="00520F95" w:rsidP="00760BC6">
      <w:pPr>
        <w:pStyle w:val="ListParagraph"/>
        <w:numPr>
          <w:ilvl w:val="1"/>
          <w:numId w:val="36"/>
        </w:numPr>
        <w:jc w:val="both"/>
      </w:pPr>
      <w:r>
        <w:t>E</w:t>
      </w:r>
      <w:r w:rsidR="00760BC6">
        <w:t>conomic position</w:t>
      </w:r>
    </w:p>
    <w:p w14:paraId="1A0C6499" w14:textId="77777777" w:rsidR="00760BC6" w:rsidRDefault="00760BC6" w:rsidP="00760BC6">
      <w:pPr>
        <w:jc w:val="both"/>
      </w:pPr>
    </w:p>
    <w:p w14:paraId="687BF967" w14:textId="77777777" w:rsidR="00DB191F" w:rsidRDefault="00760BC6" w:rsidP="00760BC6">
      <w:pPr>
        <w:jc w:val="both"/>
      </w:pPr>
      <w:r>
        <w:t>Th</w:t>
      </w:r>
      <w:r w:rsidRPr="00760BC6">
        <w:t xml:space="preserve">e </w:t>
      </w:r>
      <w:r w:rsidR="00DB191F">
        <w:t>County Council's</w:t>
      </w:r>
      <w:r w:rsidRPr="00760BC6">
        <w:t xml:space="preserve"> borrowing strategy continues to </w:t>
      </w:r>
      <w:r w:rsidR="00DB191F">
        <w:t xml:space="preserve">balance the issues of affordability while ensuring the borrowing needs are met and providing some certainty of cost over the long term. </w:t>
      </w:r>
    </w:p>
    <w:p w14:paraId="771BCA9E" w14:textId="77777777" w:rsidR="00DB191F" w:rsidRDefault="00DB191F" w:rsidP="00760BC6">
      <w:pPr>
        <w:jc w:val="both"/>
      </w:pPr>
    </w:p>
    <w:p w14:paraId="00390650" w14:textId="77777777" w:rsidR="00DB191F" w:rsidRPr="00BF0506" w:rsidRDefault="00DB191F" w:rsidP="00760BC6">
      <w:pPr>
        <w:jc w:val="both"/>
      </w:pPr>
      <w:r w:rsidRPr="00DB191F">
        <w:t xml:space="preserve">With short-term interest rates currently lower than long-term rates, it </w:t>
      </w:r>
      <w:r w:rsidR="00BD6757">
        <w:t>has been</w:t>
      </w:r>
      <w:r w:rsidRPr="00DB191F">
        <w:t xml:space="preserve"> more co</w:t>
      </w:r>
      <w:r>
        <w:t xml:space="preserve">st effective in the short-term </w:t>
      </w:r>
      <w:r w:rsidRPr="00DB191F">
        <w:t>to borrow short-term</w:t>
      </w:r>
      <w:r w:rsidR="0071222F">
        <w:t xml:space="preserve">. Given the economic </w:t>
      </w:r>
      <w:r w:rsidR="00062C5C">
        <w:t>outlook</w:t>
      </w:r>
      <w:r w:rsidR="0071222F">
        <w:t xml:space="preserve"> outlined above increases in interest rates are not forecast in the medium term</w:t>
      </w:r>
      <w:r w:rsidR="00BD6757">
        <w:t xml:space="preserve"> so this situation is likely to continue</w:t>
      </w:r>
      <w:r w:rsidR="0071222F">
        <w:t xml:space="preserve">. However, there is significant economic uncertainty and rates are at historically low levels. Therefore the </w:t>
      </w:r>
      <w:r w:rsidR="0071222F" w:rsidRPr="0071222F">
        <w:t xml:space="preserve">benefits of short-term borrowing will be monitored regularly against the potential for incurring additional costs by deferring borrowing into future years when long-term borrowing rates </w:t>
      </w:r>
      <w:r w:rsidR="0071222F">
        <w:t>may</w:t>
      </w:r>
      <w:r w:rsidR="0071222F" w:rsidRPr="0071222F">
        <w:t xml:space="preserve"> rise</w:t>
      </w:r>
      <w:r w:rsidR="0071222F">
        <w:t xml:space="preserve">. </w:t>
      </w:r>
      <w:r w:rsidR="0071222F" w:rsidRPr="0071222F">
        <w:t xml:space="preserve"> </w:t>
      </w:r>
      <w:r w:rsidR="0071222F">
        <w:t xml:space="preserve">As a result the County Council </w:t>
      </w:r>
      <w:r w:rsidR="0071222F" w:rsidRPr="0071222F">
        <w:t>may borrow additional sums at long-term fixed rates in 2017/18 with a view to keeping future interest costs low, even if this causes additional cost in the short-term.</w:t>
      </w:r>
    </w:p>
    <w:p w14:paraId="26B3E8BB" w14:textId="77777777" w:rsidR="008503CE" w:rsidRPr="00BF0506" w:rsidRDefault="008503CE">
      <w:pPr>
        <w:pStyle w:val="ListParagraph"/>
        <w:jc w:val="both"/>
      </w:pPr>
    </w:p>
    <w:p w14:paraId="5EF41437" w14:textId="77777777" w:rsidR="00E55677" w:rsidRPr="00760BC6" w:rsidRDefault="0040630B" w:rsidP="00D07A73">
      <w:pPr>
        <w:spacing w:after="240"/>
        <w:jc w:val="both"/>
      </w:pPr>
      <w:r w:rsidRPr="00760BC6">
        <w:t>There are a range of options available for the borrowing strategy in</w:t>
      </w:r>
      <w:r w:rsidR="00D07A73" w:rsidRPr="00760BC6">
        <w:t xml:space="preserve"> </w:t>
      </w:r>
      <w:r w:rsidR="00F4760B" w:rsidRPr="00760BC6">
        <w:t>201</w:t>
      </w:r>
      <w:r w:rsidR="00BD6757">
        <w:t>7</w:t>
      </w:r>
      <w:r w:rsidR="00D07A73" w:rsidRPr="00760BC6">
        <w:t>/</w:t>
      </w:r>
      <w:r w:rsidR="00F4760B" w:rsidRPr="00760BC6">
        <w:t>1</w:t>
      </w:r>
      <w:r w:rsidR="00BD6757">
        <w:t>8</w:t>
      </w:r>
      <w:r w:rsidR="00D07A73" w:rsidRPr="00760BC6">
        <w:t>.</w:t>
      </w:r>
      <w:r w:rsidRPr="00760BC6">
        <w:t xml:space="preserve"> </w:t>
      </w:r>
    </w:p>
    <w:p w14:paraId="54B878BE" w14:textId="77777777" w:rsidR="00E55677" w:rsidRPr="00616B23" w:rsidRDefault="0040630B" w:rsidP="00574AC0">
      <w:pPr>
        <w:pStyle w:val="ListParagraph"/>
        <w:numPr>
          <w:ilvl w:val="0"/>
          <w:numId w:val="7"/>
        </w:numPr>
        <w:spacing w:after="240"/>
        <w:jc w:val="both"/>
      </w:pPr>
      <w:r w:rsidRPr="00616B23">
        <w:t xml:space="preserve">Variable rate borrowing is expected to be cheaper than fixed rate long term borrowing and will be attractive during the financial year, particularly as variable rates are closely linked to bank rates. </w:t>
      </w:r>
    </w:p>
    <w:p w14:paraId="43FCE70B" w14:textId="77777777" w:rsidR="0079483B" w:rsidRPr="00616B23" w:rsidRDefault="0040630B" w:rsidP="00F861B8">
      <w:pPr>
        <w:pStyle w:val="ListParagraph"/>
        <w:numPr>
          <w:ilvl w:val="0"/>
          <w:numId w:val="7"/>
        </w:numPr>
        <w:spacing w:after="240"/>
        <w:jc w:val="both"/>
      </w:pPr>
      <w:r w:rsidRPr="00616B23">
        <w:t>Under 10 year</w:t>
      </w:r>
      <w:r w:rsidR="00D07A73" w:rsidRPr="00616B23">
        <w:t>s</w:t>
      </w:r>
      <w:r w:rsidRPr="00616B23">
        <w:t xml:space="preserve"> rates are expected to be lower than long term rates, so this opens up a range of choices that may allow the </w:t>
      </w:r>
      <w:r w:rsidR="00F63785" w:rsidRPr="00616B23">
        <w:t>C</w:t>
      </w:r>
      <w:r w:rsidR="00F25AD0" w:rsidRPr="00616B23">
        <w:t xml:space="preserve">ounty </w:t>
      </w:r>
      <w:r w:rsidR="00F63785" w:rsidRPr="00616B23">
        <w:t>C</w:t>
      </w:r>
      <w:r w:rsidR="00F25AD0" w:rsidRPr="00616B23">
        <w:t>ouncil</w:t>
      </w:r>
      <w:r w:rsidRPr="00616B23">
        <w:t xml:space="preserve"> to spread maturities away from concentration on long dated debt.</w:t>
      </w:r>
    </w:p>
    <w:p w14:paraId="5838588D" w14:textId="77777777" w:rsidR="00234C32" w:rsidRDefault="00234C32" w:rsidP="00F861B8">
      <w:pPr>
        <w:pStyle w:val="ListParagraph"/>
        <w:numPr>
          <w:ilvl w:val="0"/>
          <w:numId w:val="7"/>
        </w:numPr>
        <w:spacing w:after="240"/>
        <w:jc w:val="both"/>
      </w:pPr>
      <w:r w:rsidRPr="00C01327">
        <w:t>Although it is not felt best pricing can be achieved at the present time through issuance under the County C</w:t>
      </w:r>
      <w:r w:rsidR="00F25AD0" w:rsidRPr="00C01327">
        <w:t>ouncil</w:t>
      </w:r>
      <w:r w:rsidRPr="00C01327">
        <w:t>'s</w:t>
      </w:r>
      <w:r w:rsidR="0079483B" w:rsidRPr="00C01327">
        <w:t xml:space="preserve"> </w:t>
      </w:r>
      <w:r w:rsidR="006C208A" w:rsidRPr="00C01327">
        <w:t>e</w:t>
      </w:r>
      <w:r w:rsidR="0079483B" w:rsidRPr="00C01327">
        <w:t xml:space="preserve">uro </w:t>
      </w:r>
      <w:r w:rsidR="006C208A" w:rsidRPr="00C01327">
        <w:t>m</w:t>
      </w:r>
      <w:r w:rsidR="0079483B" w:rsidRPr="00C01327">
        <w:t xml:space="preserve">edium </w:t>
      </w:r>
      <w:r w:rsidR="006C208A" w:rsidRPr="00C01327">
        <w:t>t</w:t>
      </w:r>
      <w:r w:rsidR="0079483B" w:rsidRPr="00C01327">
        <w:t xml:space="preserve">erm </w:t>
      </w:r>
      <w:r w:rsidR="006C208A" w:rsidRPr="00C01327">
        <w:t>n</w:t>
      </w:r>
      <w:r w:rsidR="0079483B" w:rsidRPr="00C01327">
        <w:t xml:space="preserve">ote </w:t>
      </w:r>
      <w:r w:rsidR="006C208A" w:rsidRPr="00C01327">
        <w:t>p</w:t>
      </w:r>
      <w:r w:rsidR="0079483B" w:rsidRPr="00C01327">
        <w:t>rogramme (EMTN)</w:t>
      </w:r>
      <w:r w:rsidR="00AA245E" w:rsidRPr="00C01327">
        <w:t>,</w:t>
      </w:r>
      <w:r w:rsidRPr="00C01327">
        <w:t xml:space="preserve"> a </w:t>
      </w:r>
      <w:r w:rsidR="006C208A" w:rsidRPr="00C01327">
        <w:t>c</w:t>
      </w:r>
      <w:r w:rsidRPr="00C01327">
        <w:t xml:space="preserve">ommercial </w:t>
      </w:r>
      <w:r w:rsidR="006C208A" w:rsidRPr="00C01327">
        <w:t>p</w:t>
      </w:r>
      <w:r w:rsidRPr="00C01327">
        <w:t xml:space="preserve">aper </w:t>
      </w:r>
      <w:r w:rsidR="006C208A" w:rsidRPr="00C01327">
        <w:t>i</w:t>
      </w:r>
      <w:r w:rsidRPr="00C01327">
        <w:t xml:space="preserve">ssue </w:t>
      </w:r>
      <w:r w:rsidR="006C208A" w:rsidRPr="00C01327">
        <w:t>which has a</w:t>
      </w:r>
      <w:r w:rsidRPr="00C01327">
        <w:t xml:space="preserve"> </w:t>
      </w:r>
      <w:r w:rsidR="006C208A" w:rsidRPr="00C01327">
        <w:t xml:space="preserve">much shorter maturity, typically 270 days, </w:t>
      </w:r>
      <w:r w:rsidRPr="00C01327">
        <w:t>may be appropriate.</w:t>
      </w:r>
    </w:p>
    <w:p w14:paraId="04AA04F9" w14:textId="75DB1772" w:rsidR="00D86663" w:rsidRPr="00C01327" w:rsidRDefault="00B460A9" w:rsidP="00186F66">
      <w:pPr>
        <w:pStyle w:val="ListParagraph"/>
        <w:numPr>
          <w:ilvl w:val="0"/>
          <w:numId w:val="7"/>
        </w:numPr>
        <w:spacing w:after="240"/>
        <w:jc w:val="both"/>
      </w:pPr>
      <w:r>
        <w:t>There is an option</w:t>
      </w:r>
      <w:r w:rsidR="006C208A" w:rsidRPr="00C01327">
        <w:t xml:space="preserve"> </w:t>
      </w:r>
      <w:r w:rsidR="00234C32" w:rsidRPr="00C01327">
        <w:t>to add the</w:t>
      </w:r>
      <w:r w:rsidR="0079483B" w:rsidRPr="00C01327">
        <w:t xml:space="preserve"> LGA's Municipal Bond Agency </w:t>
      </w:r>
      <w:r w:rsidR="00234C32" w:rsidRPr="00C01327">
        <w:t xml:space="preserve">to the County Council's list of approved borrowing counterparties </w:t>
      </w:r>
      <w:r w:rsidR="00674E45">
        <w:t>but this will be subject to approval from the County Council.</w:t>
      </w:r>
    </w:p>
    <w:p w14:paraId="098D7F94" w14:textId="77777777" w:rsidR="0040630B" w:rsidRPr="00932EE8" w:rsidRDefault="0040630B" w:rsidP="00D86663">
      <w:pPr>
        <w:spacing w:after="240"/>
        <w:jc w:val="both"/>
      </w:pPr>
      <w:r w:rsidRPr="00BF0506">
        <w:t xml:space="preserve">Against this background, the </w:t>
      </w:r>
      <w:r w:rsidR="00CF5E98" w:rsidRPr="00BF0506">
        <w:t>section 151 officer</w:t>
      </w:r>
      <w:r w:rsidRPr="00BF0506">
        <w:t xml:space="preserve"> will, in conjunction with the </w:t>
      </w:r>
      <w:r w:rsidR="00F63785" w:rsidRPr="00BF0506">
        <w:t>C</w:t>
      </w:r>
      <w:r w:rsidR="00F25AD0" w:rsidRPr="00BF0506">
        <w:t xml:space="preserve">ounty </w:t>
      </w:r>
      <w:r w:rsidR="00F63785" w:rsidRPr="00BF0506">
        <w:t>C</w:t>
      </w:r>
      <w:r w:rsidR="00F25AD0" w:rsidRPr="00BF0506">
        <w:t>ouncil</w:t>
      </w:r>
      <w:r w:rsidRPr="00BF0506">
        <w:t>'s advis</w:t>
      </w:r>
      <w:r w:rsidR="00003932" w:rsidRPr="00BF0506">
        <w:t>o</w:t>
      </w:r>
      <w:r w:rsidRPr="00BF0506">
        <w:t xml:space="preserve">rs, monitor the interest rate situation closely and will adopt a pragmatic approach to </w:t>
      </w:r>
      <w:r w:rsidR="00974CAE" w:rsidRPr="00BF0506">
        <w:t xml:space="preserve">delivering the objectives of this strategy within </w:t>
      </w:r>
      <w:r w:rsidRPr="00BF0506">
        <w:t xml:space="preserve">changing </w:t>
      </w:r>
      <w:r w:rsidR="00974CAE" w:rsidRPr="00BF0506">
        <w:t xml:space="preserve">economic </w:t>
      </w:r>
      <w:r w:rsidR="00F63785" w:rsidRPr="00BF0506">
        <w:t xml:space="preserve">circumstances. </w:t>
      </w:r>
    </w:p>
    <w:p w14:paraId="1464104F" w14:textId="77777777" w:rsidR="0040630B" w:rsidRPr="00932EE8" w:rsidRDefault="00D07A73" w:rsidP="00D635B5">
      <w:pPr>
        <w:spacing w:after="240"/>
        <w:jc w:val="both"/>
      </w:pPr>
      <w:r w:rsidRPr="00932EE8">
        <w:t xml:space="preserve">All decisions on whether to undertake new </w:t>
      </w:r>
      <w:r w:rsidR="0082655F" w:rsidRPr="00932EE8">
        <w:t>or replacement</w:t>
      </w:r>
      <w:r w:rsidRPr="00932EE8">
        <w:t xml:space="preserve"> borrowing to support previous or future capital investment will be subject to evaluation against the following criteria:</w:t>
      </w:r>
    </w:p>
    <w:p w14:paraId="5DD25B5F" w14:textId="77777777" w:rsidR="00D07A73" w:rsidRPr="00932EE8" w:rsidRDefault="00062C5C" w:rsidP="00D635B5">
      <w:pPr>
        <w:pStyle w:val="ListParagraph"/>
        <w:numPr>
          <w:ilvl w:val="0"/>
          <w:numId w:val="1"/>
        </w:numPr>
        <w:spacing w:after="240"/>
        <w:jc w:val="both"/>
      </w:pPr>
      <w:r>
        <w:t>Overall need namely</w:t>
      </w:r>
      <w:r w:rsidR="00D07A73" w:rsidRPr="00932EE8">
        <w:t xml:space="preserve"> whether a borrowing requirement to fund the capital programme or previous capital investment exists;</w:t>
      </w:r>
    </w:p>
    <w:p w14:paraId="6A083FF3" w14:textId="77777777" w:rsidR="00D07A73" w:rsidRPr="00932EE8" w:rsidRDefault="00D07A73" w:rsidP="00D635B5">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14:paraId="598A3175" w14:textId="051CF1AE" w:rsidR="00DE327A" w:rsidRDefault="00D07A73" w:rsidP="00520F95">
      <w:pPr>
        <w:pStyle w:val="ListParagraph"/>
        <w:numPr>
          <w:ilvl w:val="0"/>
          <w:numId w:val="1"/>
        </w:numPr>
        <w:spacing w:after="240"/>
        <w:jc w:val="both"/>
      </w:pPr>
      <w:r w:rsidRPr="00932EE8">
        <w:t>Market conditions</w:t>
      </w:r>
      <w:r w:rsidR="00FC67A8" w:rsidRPr="00932EE8">
        <w:t xml:space="preserve">, </w:t>
      </w:r>
      <w:r w:rsidR="006971B7" w:rsidRPr="00932EE8">
        <w:t xml:space="preserve">to </w:t>
      </w:r>
      <w:r w:rsidRPr="00932EE8">
        <w:t>ensur</w:t>
      </w:r>
      <w:r w:rsidR="00FC67A8" w:rsidRPr="00932EE8">
        <w:t>e</w:t>
      </w:r>
      <w:r w:rsidRPr="00932EE8">
        <w:t xml:space="preserve"> borrowing that does need to be underta</w:t>
      </w:r>
      <w:r w:rsidR="00186F66">
        <w:t>ken is achieved at minimum cost;</w:t>
      </w:r>
      <w:r w:rsidR="00FC67A8" w:rsidRPr="00932EE8">
        <w:t xml:space="preserve"> </w:t>
      </w:r>
    </w:p>
    <w:p w14:paraId="259829BA" w14:textId="77777777" w:rsidR="00D07A73" w:rsidRPr="00932EE8" w:rsidRDefault="00D07A73" w:rsidP="00520F95">
      <w:pPr>
        <w:pStyle w:val="ListParagraph"/>
        <w:numPr>
          <w:ilvl w:val="0"/>
          <w:numId w:val="1"/>
        </w:numPr>
        <w:spacing w:after="240"/>
        <w:jc w:val="both"/>
      </w:pPr>
      <w:r w:rsidRPr="00932EE8">
        <w:t>Scale</w:t>
      </w:r>
      <w:r w:rsidR="00FC67A8" w:rsidRPr="00932EE8">
        <w:t xml:space="preserve">, to </w:t>
      </w:r>
      <w:r w:rsidRPr="00932EE8">
        <w:t>ensur</w:t>
      </w:r>
      <w:r w:rsidR="00FC67A8" w:rsidRPr="00932EE8">
        <w:t>e</w:t>
      </w:r>
      <w:r w:rsidRPr="00932EE8">
        <w:t xml:space="preserve"> borrowing is undertaken on a scale commensurate with the agreed financing route.</w:t>
      </w:r>
    </w:p>
    <w:p w14:paraId="59857E57" w14:textId="77777777" w:rsidR="00D07A73" w:rsidRDefault="00D07A73" w:rsidP="00D635B5">
      <w:pPr>
        <w:spacing w:after="240"/>
        <w:jc w:val="both"/>
      </w:pPr>
      <w:r w:rsidRPr="00932EE8">
        <w:t xml:space="preserve">All </w:t>
      </w:r>
      <w:r w:rsidR="00E31179" w:rsidRPr="00932EE8">
        <w:t xml:space="preserve">long term </w:t>
      </w:r>
      <w:r w:rsidRPr="00932EE8">
        <w:t>decisions will be documented reflecting the assessment of these criteria.</w:t>
      </w:r>
    </w:p>
    <w:p w14:paraId="714CAB2A" w14:textId="77777777" w:rsidR="00E31179" w:rsidRPr="00932EE8" w:rsidRDefault="00B41D49" w:rsidP="00E31179">
      <w:pPr>
        <w:jc w:val="both"/>
        <w:rPr>
          <w:i/>
        </w:rPr>
      </w:pPr>
      <w:r>
        <w:rPr>
          <w:i/>
        </w:rPr>
        <w:t>4.</w:t>
      </w:r>
      <w:r w:rsidR="00FB0846">
        <w:rPr>
          <w:i/>
        </w:rPr>
        <w:t>2</w:t>
      </w:r>
      <w:r>
        <w:rPr>
          <w:i/>
        </w:rPr>
        <w:t xml:space="preserve"> </w:t>
      </w:r>
      <w:r w:rsidR="00E31179" w:rsidRPr="00932EE8">
        <w:rPr>
          <w:i/>
        </w:rPr>
        <w:t xml:space="preserve">Sources of borrowing </w:t>
      </w:r>
    </w:p>
    <w:p w14:paraId="254F691D" w14:textId="77777777" w:rsidR="00E31179" w:rsidRPr="00932EE8" w:rsidRDefault="00E31179" w:rsidP="00E31179">
      <w:pPr>
        <w:jc w:val="both"/>
        <w:rPr>
          <w:i/>
        </w:rPr>
      </w:pPr>
    </w:p>
    <w:p w14:paraId="728044F0" w14:textId="77777777" w:rsidR="00E31179" w:rsidRPr="00B27B53" w:rsidRDefault="00E31179" w:rsidP="00E31179">
      <w:pPr>
        <w:jc w:val="both"/>
      </w:pPr>
      <w:r w:rsidRPr="00B27B53">
        <w:t>The approved sources of long-term and short-term borrowing will be:</w:t>
      </w:r>
    </w:p>
    <w:p w14:paraId="3DE1AF5D" w14:textId="77777777" w:rsidR="00894308" w:rsidRPr="00B27B53" w:rsidRDefault="00894308" w:rsidP="00E31179">
      <w:pPr>
        <w:jc w:val="both"/>
      </w:pPr>
    </w:p>
    <w:p w14:paraId="16114626" w14:textId="77777777" w:rsidR="00E125BC" w:rsidRDefault="00E31179" w:rsidP="00750FB1">
      <w:pPr>
        <w:widowControl w:val="0"/>
        <w:numPr>
          <w:ilvl w:val="0"/>
          <w:numId w:val="13"/>
        </w:numPr>
        <w:ind w:left="714" w:hanging="357"/>
        <w:jc w:val="both"/>
      </w:pPr>
      <w:r w:rsidRPr="00B27B53">
        <w:t>Public Works Loan Board</w:t>
      </w:r>
    </w:p>
    <w:p w14:paraId="2FBCDE99" w14:textId="77777777" w:rsidR="00E125BC" w:rsidRDefault="00894308" w:rsidP="00186F66">
      <w:pPr>
        <w:widowControl w:val="0"/>
        <w:numPr>
          <w:ilvl w:val="0"/>
          <w:numId w:val="13"/>
        </w:numPr>
        <w:ind w:left="714" w:hanging="357"/>
        <w:jc w:val="both"/>
      </w:pPr>
      <w:r w:rsidRPr="00B27B53">
        <w:t>UK Local Authorities</w:t>
      </w:r>
    </w:p>
    <w:p w14:paraId="7BB44F4C" w14:textId="4F8D7FC1" w:rsidR="00E125BC" w:rsidRDefault="00E31179" w:rsidP="00186F66">
      <w:pPr>
        <w:widowControl w:val="0"/>
        <w:numPr>
          <w:ilvl w:val="0"/>
          <w:numId w:val="13"/>
        </w:numPr>
        <w:ind w:left="714" w:hanging="357"/>
        <w:jc w:val="both"/>
      </w:pPr>
      <w:r w:rsidRPr="00B27B53">
        <w:t xml:space="preserve">any institution approved for investments </w:t>
      </w:r>
      <w:r w:rsidR="00C91E91">
        <w:t>inclu</w:t>
      </w:r>
      <w:r w:rsidR="00186F66">
        <w:t xml:space="preserve">ding high quality supranational </w:t>
      </w:r>
      <w:r w:rsidR="00C91E91">
        <w:t>banks such as the European Central Bank</w:t>
      </w:r>
    </w:p>
    <w:p w14:paraId="4F530DE5" w14:textId="77777777" w:rsidR="00BE2FED" w:rsidRDefault="00894308" w:rsidP="00186F66">
      <w:pPr>
        <w:widowControl w:val="0"/>
        <w:numPr>
          <w:ilvl w:val="0"/>
          <w:numId w:val="13"/>
        </w:numPr>
        <w:ind w:left="714" w:hanging="357"/>
        <w:jc w:val="both"/>
      </w:pPr>
      <w:r w:rsidRPr="00B27B53">
        <w:t>UK public and private sector pension funds</w:t>
      </w:r>
    </w:p>
    <w:p w14:paraId="4048EAA0" w14:textId="77777777" w:rsidR="00D340CC" w:rsidRDefault="00332D16" w:rsidP="00186F66">
      <w:pPr>
        <w:widowControl w:val="0"/>
        <w:numPr>
          <w:ilvl w:val="0"/>
          <w:numId w:val="13"/>
        </w:numPr>
        <w:ind w:left="714" w:hanging="357"/>
        <w:jc w:val="both"/>
      </w:pPr>
      <w:r>
        <w:t>a</w:t>
      </w:r>
      <w:r w:rsidR="00BE2FED">
        <w:t xml:space="preserve">ny other financial institution approved by the </w:t>
      </w:r>
      <w:r w:rsidRPr="000C3B5D">
        <w:t>Prudential Regulation Authority</w:t>
      </w:r>
      <w:r w:rsidR="000C3B5D">
        <w:t xml:space="preserve">, which is part of the Bank of England </w:t>
      </w:r>
      <w:r w:rsidR="000C3B5D" w:rsidRPr="000C3B5D">
        <w:t>and is responsible for the  regulation and supervision of around 1,700 banks, building societies, credit unions, insurers and major investment firms</w:t>
      </w:r>
    </w:p>
    <w:p w14:paraId="485DCD32" w14:textId="77777777" w:rsidR="00E31179" w:rsidRDefault="00E31179" w:rsidP="00186F66">
      <w:pPr>
        <w:widowControl w:val="0"/>
        <w:numPr>
          <w:ilvl w:val="0"/>
          <w:numId w:val="13"/>
        </w:numPr>
        <w:ind w:left="714" w:hanging="357"/>
        <w:jc w:val="both"/>
      </w:pPr>
      <w:r w:rsidRPr="00B27B53">
        <w:t>capital market bond investors</w:t>
      </w:r>
      <w:r w:rsidR="00BE2FED">
        <w:t xml:space="preserve"> either over the counter or through electronic trading platforms</w:t>
      </w:r>
    </w:p>
    <w:p w14:paraId="5195E588" w14:textId="77777777" w:rsidR="00674E45" w:rsidRDefault="00674E45" w:rsidP="00674E45">
      <w:pPr>
        <w:pStyle w:val="NoSpacing"/>
      </w:pPr>
    </w:p>
    <w:p w14:paraId="7E938199" w14:textId="70F4D556" w:rsidR="00674E45" w:rsidRDefault="00EF4E3C" w:rsidP="00194D26">
      <w:pPr>
        <w:pStyle w:val="NoSpacing"/>
        <w:jc w:val="both"/>
      </w:pPr>
      <w:r w:rsidRPr="00142F1A">
        <w:t xml:space="preserve">The </w:t>
      </w:r>
      <w:r w:rsidR="0095148C">
        <w:t xml:space="preserve">option remains to add the </w:t>
      </w:r>
      <w:r w:rsidR="00674E45" w:rsidRPr="00142F1A">
        <w:t>LGA Municipal Bond Agency and</w:t>
      </w:r>
      <w:r w:rsidR="00054FDF" w:rsidRPr="00142F1A">
        <w:t>/or</w:t>
      </w:r>
      <w:r w:rsidR="00674E45" w:rsidRPr="00142F1A">
        <w:t xml:space="preserve"> Special purpose companies</w:t>
      </w:r>
      <w:r w:rsidR="00FB4703">
        <w:t xml:space="preserve"> </w:t>
      </w:r>
      <w:r w:rsidR="00674E45" w:rsidRPr="00142F1A">
        <w:t xml:space="preserve">created to enable joint local authority bond issues, using the format of a euro medium term note programme or a commercial paper programme </w:t>
      </w:r>
      <w:r w:rsidR="00442D01">
        <w:t xml:space="preserve">to the approved sources of borrowing. These will be subject to Member approval.  </w:t>
      </w:r>
    </w:p>
    <w:p w14:paraId="7BDFB9B3" w14:textId="77777777" w:rsidR="007A0BFC" w:rsidRDefault="007A0BFC" w:rsidP="007A0BFC">
      <w:pPr>
        <w:widowControl w:val="0"/>
        <w:ind w:left="714"/>
        <w:jc w:val="both"/>
      </w:pPr>
    </w:p>
    <w:p w14:paraId="50E3F040" w14:textId="77777777" w:rsidR="007A0BFC" w:rsidRDefault="007A0BFC" w:rsidP="007A0BFC">
      <w:pPr>
        <w:widowControl w:val="0"/>
        <w:jc w:val="both"/>
      </w:pPr>
      <w:r w:rsidRPr="00C4784E">
        <w:rPr>
          <w:i/>
        </w:rPr>
        <w:t>4.3 UK Municipal Bond Agency PLC</w:t>
      </w:r>
    </w:p>
    <w:p w14:paraId="5384BA90" w14:textId="77777777" w:rsidR="007A0BFC" w:rsidRDefault="007A0BFC" w:rsidP="007A0BFC">
      <w:pPr>
        <w:widowControl w:val="0"/>
        <w:jc w:val="both"/>
      </w:pPr>
    </w:p>
    <w:p w14:paraId="25F6150F" w14:textId="1A44260F" w:rsidR="007A0BFC" w:rsidRDefault="007A0BFC" w:rsidP="007A0BFC">
      <w:pPr>
        <w:widowControl w:val="0"/>
        <w:jc w:val="both"/>
      </w:pPr>
      <w:r>
        <w:t>The Municipal Bond Agency was established by the Local Government Association in June 2014 with the primary objective of</w:t>
      </w:r>
      <w:r w:rsidR="00FA6BF1">
        <w:t xml:space="preserve"> setting up an alternative capital funding source for the local government sector and </w:t>
      </w:r>
      <w:r>
        <w:t xml:space="preserve">reducing UK local authority financing costs </w:t>
      </w:r>
      <w:r w:rsidR="00FA6BF1">
        <w:t xml:space="preserve">by </w:t>
      </w:r>
      <w:r>
        <w:t>becoming the most efficient and cost effective provider of finance.</w:t>
      </w:r>
      <w:r w:rsidR="008C0031">
        <w:t xml:space="preserve"> </w:t>
      </w:r>
      <w:r>
        <w:t xml:space="preserve">The </w:t>
      </w:r>
      <w:r w:rsidR="00FA6BF1">
        <w:t xml:space="preserve">Cabinet agreed on 15 July 2014 to invest £250,000 to become a shareholder in the company which should lead to dividends from the MBA when it is in full operation. </w:t>
      </w:r>
      <w:r w:rsidR="00332D16">
        <w:t>County Council are one of 5</w:t>
      </w:r>
      <w:r w:rsidR="008C0031">
        <w:t xml:space="preserve">6 local authority </w:t>
      </w:r>
      <w:r w:rsidR="00332D16">
        <w:t>shareholders</w:t>
      </w:r>
      <w:r w:rsidR="008C0031">
        <w:t>, the 57</w:t>
      </w:r>
      <w:r w:rsidR="008C0031" w:rsidRPr="00BF0506">
        <w:rPr>
          <w:vertAlign w:val="superscript"/>
        </w:rPr>
        <w:t>th</w:t>
      </w:r>
      <w:r w:rsidR="008C0031">
        <w:t xml:space="preserve"> is </w:t>
      </w:r>
      <w:r w:rsidR="00332D16">
        <w:t>the LGA who are the founder shareholder.</w:t>
      </w:r>
      <w:r w:rsidR="008C0031">
        <w:t xml:space="preserve"> </w:t>
      </w:r>
    </w:p>
    <w:p w14:paraId="6C92A5C1" w14:textId="77777777" w:rsidR="00140C62" w:rsidRDefault="00140C62" w:rsidP="007A0BFC">
      <w:pPr>
        <w:widowControl w:val="0"/>
        <w:jc w:val="both"/>
      </w:pPr>
    </w:p>
    <w:p w14:paraId="50EDDDFD" w14:textId="7EAAE1BB" w:rsidR="000F7B5E" w:rsidRDefault="00FA6BF1" w:rsidP="007A0BFC">
      <w:pPr>
        <w:widowControl w:val="0"/>
        <w:jc w:val="both"/>
      </w:pPr>
      <w:r>
        <w:t>It is expected that the MBA will make the first tranche of borrowing available to local authorities in 201</w:t>
      </w:r>
      <w:r w:rsidR="00DE327A">
        <w:t>7</w:t>
      </w:r>
      <w:r>
        <w:t xml:space="preserve">. </w:t>
      </w:r>
      <w:r w:rsidR="00140C62">
        <w:t xml:space="preserve">In order to </w:t>
      </w:r>
      <w:r>
        <w:t xml:space="preserve">borrow from the MBA the County Council is required to </w:t>
      </w:r>
      <w:r w:rsidRPr="00DD1084">
        <w:t>sign a joint and several guarantee</w:t>
      </w:r>
      <w:r w:rsidR="00B50F21" w:rsidRPr="006F0BD3">
        <w:t xml:space="preserve"> contained within a framework agreement. </w:t>
      </w:r>
      <w:r w:rsidR="00C4784E">
        <w:t xml:space="preserve">This agreement has been subject to </w:t>
      </w:r>
      <w:r w:rsidR="005A49A7">
        <w:t xml:space="preserve">a </w:t>
      </w:r>
      <w:r w:rsidR="00C4784E">
        <w:t>report to</w:t>
      </w:r>
      <w:r w:rsidR="005A49A7">
        <w:t xml:space="preserve"> the</w:t>
      </w:r>
      <w:r w:rsidR="00C4784E">
        <w:t xml:space="preserve"> Audit and Governance Committee and Full Council. </w:t>
      </w:r>
    </w:p>
    <w:p w14:paraId="506A1CEF" w14:textId="15CED1D6" w:rsidR="000F7B5E" w:rsidRPr="00BF0506" w:rsidRDefault="000F7B5E" w:rsidP="007A0BFC">
      <w:pPr>
        <w:widowControl w:val="0"/>
        <w:jc w:val="both"/>
        <w:rPr>
          <w:highlight w:val="yellow"/>
        </w:rPr>
      </w:pPr>
    </w:p>
    <w:p w14:paraId="11E4D77E" w14:textId="77777777" w:rsidR="00C4784E" w:rsidRDefault="00C4784E" w:rsidP="00C4784E">
      <w:pPr>
        <w:widowControl w:val="0"/>
        <w:jc w:val="both"/>
      </w:pPr>
      <w:r>
        <w:t xml:space="preserve">The County Council on 21 July 2016, referred the proposal to the Audit and Governance Committee for consideration at its meeting on 26 September 2016. The Committee had specifically been requested to consider the potential risks involved and any possible mitigation of those risks. </w:t>
      </w:r>
    </w:p>
    <w:p w14:paraId="132BA803" w14:textId="77777777" w:rsidR="00C4784E" w:rsidRDefault="00C4784E" w:rsidP="00C4784E">
      <w:pPr>
        <w:widowControl w:val="0"/>
        <w:jc w:val="both"/>
      </w:pPr>
    </w:p>
    <w:p w14:paraId="0CD92727" w14:textId="29BE03B1" w:rsidR="00C4784E" w:rsidRDefault="00C4784E" w:rsidP="00186F66">
      <w:pPr>
        <w:widowControl w:val="0"/>
        <w:jc w:val="both"/>
      </w:pPr>
      <w:r>
        <w:t xml:space="preserve">On 13 October </w:t>
      </w:r>
      <w:r w:rsidR="00186F66">
        <w:t xml:space="preserve">2016 </w:t>
      </w:r>
      <w:r>
        <w:t xml:space="preserve">Full Council noted that, whilst the Committee had recommended Full Council to approve the proposals, further consideration had been given to the proposals and it was resolved that the report be withdrawn until a later date when any outstanding concerns had been resolved.  </w:t>
      </w:r>
    </w:p>
    <w:p w14:paraId="31AF368C" w14:textId="77777777" w:rsidR="00272267" w:rsidRDefault="00272267" w:rsidP="00186F66">
      <w:pPr>
        <w:jc w:val="both"/>
      </w:pPr>
    </w:p>
    <w:p w14:paraId="29CC685D" w14:textId="77777777" w:rsidR="00D465F9" w:rsidRPr="00FB0846" w:rsidRDefault="00B41D49" w:rsidP="00186F66">
      <w:pPr>
        <w:jc w:val="both"/>
        <w:rPr>
          <w:i/>
        </w:rPr>
      </w:pPr>
      <w:r w:rsidRPr="006B5382">
        <w:rPr>
          <w:i/>
        </w:rPr>
        <w:t>4.</w:t>
      </w:r>
      <w:r w:rsidR="007A0BFC">
        <w:rPr>
          <w:i/>
        </w:rPr>
        <w:t>4</w:t>
      </w:r>
      <w:r w:rsidRPr="006B5382">
        <w:rPr>
          <w:i/>
        </w:rPr>
        <w:t xml:space="preserve"> </w:t>
      </w:r>
      <w:r w:rsidR="00D465F9" w:rsidRPr="00FB0846">
        <w:rPr>
          <w:i/>
        </w:rPr>
        <w:t>Borrowing Instruments</w:t>
      </w:r>
    </w:p>
    <w:p w14:paraId="21CC778D" w14:textId="77777777" w:rsidR="00D465F9" w:rsidRPr="00D465F9" w:rsidRDefault="00D465F9" w:rsidP="00186F66">
      <w:pPr>
        <w:ind w:left="360"/>
        <w:jc w:val="both"/>
        <w:rPr>
          <w:i/>
        </w:rPr>
      </w:pPr>
    </w:p>
    <w:p w14:paraId="3C1325CE" w14:textId="77777777" w:rsidR="00D465F9" w:rsidRDefault="00D465F9" w:rsidP="00186F66">
      <w:pPr>
        <w:jc w:val="both"/>
      </w:pPr>
      <w:r w:rsidRPr="00D465F9">
        <w:t xml:space="preserve">The </w:t>
      </w:r>
      <w:r w:rsidR="00B50F21">
        <w:t>County Council</w:t>
      </w:r>
      <w:r w:rsidR="00B50F21" w:rsidRPr="00D465F9">
        <w:t xml:space="preserve"> </w:t>
      </w:r>
      <w:r w:rsidRPr="00D465F9">
        <w:t>may only borrow money by use of the following instruments:</w:t>
      </w:r>
    </w:p>
    <w:p w14:paraId="459E118C" w14:textId="77777777" w:rsidR="007A0BFC" w:rsidRPr="00D465F9" w:rsidRDefault="007A0BFC" w:rsidP="00186F66">
      <w:pPr>
        <w:ind w:left="360"/>
        <w:jc w:val="both"/>
      </w:pPr>
    </w:p>
    <w:p w14:paraId="5C140D29" w14:textId="77777777" w:rsidR="00D465F9" w:rsidRPr="00D465F9" w:rsidRDefault="00D465F9" w:rsidP="00186F66">
      <w:pPr>
        <w:pStyle w:val="ListParagraph"/>
        <w:numPr>
          <w:ilvl w:val="0"/>
          <w:numId w:val="25"/>
        </w:numPr>
        <w:jc w:val="both"/>
      </w:pPr>
      <w:r w:rsidRPr="00D465F9">
        <w:t>bank overdrafts</w:t>
      </w:r>
    </w:p>
    <w:p w14:paraId="0849CDEB" w14:textId="77777777" w:rsidR="00D465F9" w:rsidRPr="00D465F9" w:rsidRDefault="00D465F9" w:rsidP="00186F66">
      <w:pPr>
        <w:pStyle w:val="ListParagraph"/>
        <w:numPr>
          <w:ilvl w:val="0"/>
          <w:numId w:val="25"/>
        </w:numPr>
        <w:jc w:val="both"/>
      </w:pPr>
      <w:r w:rsidRPr="00D465F9">
        <w:t>fixed term loans</w:t>
      </w:r>
    </w:p>
    <w:p w14:paraId="126D52B1" w14:textId="77777777" w:rsidR="00D465F9" w:rsidRPr="00D465F9" w:rsidRDefault="00D465F9" w:rsidP="00186F66">
      <w:pPr>
        <w:pStyle w:val="ListParagraph"/>
        <w:numPr>
          <w:ilvl w:val="0"/>
          <w:numId w:val="25"/>
        </w:numPr>
        <w:jc w:val="both"/>
      </w:pPr>
      <w:r w:rsidRPr="00D465F9">
        <w:t xml:space="preserve">callable loans or revolving credit facilities where the </w:t>
      </w:r>
      <w:r w:rsidR="00F25AD0">
        <w:t>county council</w:t>
      </w:r>
      <w:r w:rsidRPr="00D465F9">
        <w:t xml:space="preserve"> may repay at any time (with or without notice)</w:t>
      </w:r>
    </w:p>
    <w:p w14:paraId="070A0B20" w14:textId="77777777" w:rsidR="00D465F9" w:rsidRPr="00D465F9" w:rsidRDefault="00D465F9" w:rsidP="00186F66">
      <w:pPr>
        <w:pStyle w:val="ListParagraph"/>
        <w:numPr>
          <w:ilvl w:val="0"/>
          <w:numId w:val="25"/>
        </w:numPr>
        <w:jc w:val="both"/>
      </w:pPr>
      <w:r w:rsidRPr="00D465F9">
        <w:t>callable loans where the lender may repay at any time, but subject to a maximum of £150 million in total</w:t>
      </w:r>
    </w:p>
    <w:p w14:paraId="27596E4B" w14:textId="77777777" w:rsidR="00D465F9" w:rsidRPr="00D465F9" w:rsidRDefault="00D465F9" w:rsidP="00186F66">
      <w:pPr>
        <w:pStyle w:val="ListParagraph"/>
        <w:numPr>
          <w:ilvl w:val="0"/>
          <w:numId w:val="25"/>
        </w:numPr>
        <w:jc w:val="both"/>
      </w:pPr>
      <w:r w:rsidRPr="00D465F9">
        <w:t>lender’s option borrower’s option (LOBO) loans, but subject to a maximum of £</w:t>
      </w:r>
      <w:r w:rsidR="00D340CC">
        <w:t>100</w:t>
      </w:r>
      <w:r w:rsidRPr="00D465F9">
        <w:t xml:space="preserve"> million in total</w:t>
      </w:r>
    </w:p>
    <w:p w14:paraId="2CE8F868" w14:textId="77777777" w:rsidR="00D465F9" w:rsidRPr="00D465F9" w:rsidRDefault="00D465F9" w:rsidP="00186F66">
      <w:pPr>
        <w:pStyle w:val="ListParagraph"/>
        <w:numPr>
          <w:ilvl w:val="0"/>
          <w:numId w:val="25"/>
        </w:numPr>
        <w:jc w:val="both"/>
      </w:pPr>
      <w:r w:rsidRPr="00D465F9">
        <w:t>bonds, notes, bills, commercial paper and other marketable instruments</w:t>
      </w:r>
    </w:p>
    <w:p w14:paraId="008E7A5D" w14:textId="77777777" w:rsidR="00D465F9" w:rsidRPr="00D465F9" w:rsidRDefault="00D465F9" w:rsidP="00186F66">
      <w:pPr>
        <w:pStyle w:val="ListParagraph"/>
        <w:numPr>
          <w:ilvl w:val="0"/>
          <w:numId w:val="25"/>
        </w:numPr>
        <w:jc w:val="both"/>
      </w:pPr>
      <w:r w:rsidRPr="00D465F9">
        <w:t>sale and repurchase (repo) agreements</w:t>
      </w:r>
    </w:p>
    <w:p w14:paraId="74F8E752" w14:textId="77777777" w:rsidR="00D465F9" w:rsidRPr="00D465F9" w:rsidRDefault="00D465F9" w:rsidP="00186F66">
      <w:pPr>
        <w:jc w:val="both"/>
      </w:pPr>
    </w:p>
    <w:p w14:paraId="0BCF3512" w14:textId="77777777" w:rsidR="00D465F9" w:rsidRPr="00D465F9" w:rsidRDefault="00D465F9" w:rsidP="00186F66">
      <w:pPr>
        <w:ind w:left="360"/>
        <w:jc w:val="both"/>
      </w:pPr>
      <w:r w:rsidRPr="00D465F9">
        <w:t xml:space="preserve">Loans may be borrowed at either a fixed rate of interest, or at a variable rate linked to a market interest rate, such as LIBOR, subject to the limits on interest rate risk approved each year in the </w:t>
      </w:r>
      <w:r w:rsidRPr="00D465F9">
        <w:rPr>
          <w:i/>
        </w:rPr>
        <w:t>Treasury Management Strategy</w:t>
      </w:r>
      <w:r w:rsidRPr="00D465F9">
        <w:t>.</w:t>
      </w:r>
    </w:p>
    <w:p w14:paraId="2733B15B" w14:textId="77777777" w:rsidR="00595CFD" w:rsidRDefault="00595CFD" w:rsidP="00C2176F">
      <w:pPr>
        <w:spacing w:after="240"/>
        <w:rPr>
          <w:bCs/>
          <w:i/>
        </w:rPr>
      </w:pPr>
    </w:p>
    <w:p w14:paraId="0527C448" w14:textId="77777777" w:rsidR="00550AB8" w:rsidRPr="00932EE8" w:rsidRDefault="00FA5EFC" w:rsidP="00C2176F">
      <w:pPr>
        <w:spacing w:after="240"/>
      </w:pPr>
      <w:r>
        <w:rPr>
          <w:bCs/>
          <w:i/>
        </w:rPr>
        <w:t>4.</w:t>
      </w:r>
      <w:r w:rsidR="007A0BFC">
        <w:rPr>
          <w:bCs/>
          <w:i/>
        </w:rPr>
        <w:t>5</w:t>
      </w:r>
      <w:r>
        <w:rPr>
          <w:bCs/>
          <w:i/>
        </w:rPr>
        <w:t xml:space="preserve"> </w:t>
      </w:r>
      <w:r w:rsidR="00550AB8" w:rsidRPr="00932EE8">
        <w:rPr>
          <w:bCs/>
          <w:i/>
        </w:rPr>
        <w:t>Debt Restructuring</w:t>
      </w:r>
    </w:p>
    <w:p w14:paraId="61A1B7ED" w14:textId="77777777" w:rsidR="00550AB8" w:rsidRDefault="00550AB8" w:rsidP="00392C2F">
      <w:pPr>
        <w:jc w:val="both"/>
      </w:pPr>
      <w:r w:rsidRPr="00932EE8">
        <w:t xml:space="preserve">The </w:t>
      </w:r>
      <w:r w:rsidR="00DD1084">
        <w:t>County Council</w:t>
      </w:r>
      <w:r w:rsidR="00DD1084" w:rsidRPr="00932EE8">
        <w:t xml:space="preserve"> </w:t>
      </w:r>
      <w:r w:rsidRPr="00932EE8">
        <w:t xml:space="preserve">continuously monitors both its debt portfolio and market conditions to evaluate potential savings from debt restructuring. </w:t>
      </w:r>
    </w:p>
    <w:p w14:paraId="1419DAAA" w14:textId="77777777" w:rsidR="008E2A12" w:rsidRDefault="008E2A12" w:rsidP="00392C2F">
      <w:pPr>
        <w:jc w:val="both"/>
      </w:pPr>
    </w:p>
    <w:p w14:paraId="3EE65DE3" w14:textId="77777777" w:rsidR="008E2A12" w:rsidRDefault="008E2A12" w:rsidP="00392C2F">
      <w:pPr>
        <w:jc w:val="both"/>
      </w:pPr>
      <w:r>
        <w:t xml:space="preserve">4.6 </w:t>
      </w:r>
      <w:r w:rsidRPr="008E2A12">
        <w:rPr>
          <w:i/>
        </w:rPr>
        <w:t>Other borrowing</w:t>
      </w:r>
    </w:p>
    <w:p w14:paraId="26AC94CC" w14:textId="77777777" w:rsidR="005A49A7" w:rsidRDefault="005A49A7" w:rsidP="00392C2F">
      <w:pPr>
        <w:jc w:val="both"/>
      </w:pPr>
    </w:p>
    <w:p w14:paraId="45D52CF4" w14:textId="5BF428CE" w:rsidR="008E2A12" w:rsidRDefault="008E2A12" w:rsidP="00392C2F">
      <w:pPr>
        <w:jc w:val="both"/>
      </w:pPr>
      <w:r w:rsidRPr="008E2A12">
        <w:t>In addition, the County Council may borrow for short periods of time to cover unexpected cash flow shortages</w:t>
      </w:r>
      <w:r w:rsidR="00062C5C">
        <w:t>, to take deposits on the shared investment scheme</w:t>
      </w:r>
      <w:r w:rsidRPr="008E2A12">
        <w:t xml:space="preserve"> and to provide cash flow support for the Preston, South Ribble and Lancashire City Deal project. This is to cover the gap between the </w:t>
      </w:r>
      <w:r w:rsidR="0004267C">
        <w:t xml:space="preserve">cost of </w:t>
      </w:r>
      <w:r w:rsidRPr="008E2A12">
        <w:t xml:space="preserve">construction of infrastructure and the payment of contributions from other organisations including the Government and developers. </w:t>
      </w:r>
      <w:r>
        <w:t xml:space="preserve">This borrowing is temporary but will be reflected in the Prudential Limits outlined in </w:t>
      </w:r>
      <w:r w:rsidR="005A49A7">
        <w:t>Annex '</w:t>
      </w:r>
      <w:r>
        <w:t>A</w:t>
      </w:r>
      <w:r w:rsidR="005A49A7">
        <w:t>'.</w:t>
      </w:r>
    </w:p>
    <w:p w14:paraId="58EA0E0A" w14:textId="77777777" w:rsidR="00F71552" w:rsidRPr="00932EE8" w:rsidRDefault="00F71552" w:rsidP="00392C2F">
      <w:pPr>
        <w:rPr>
          <w:b/>
          <w:bCs/>
          <w:sz w:val="28"/>
          <w:szCs w:val="28"/>
        </w:rPr>
      </w:pPr>
    </w:p>
    <w:p w14:paraId="26297B3D" w14:textId="77777777" w:rsidR="0040630B" w:rsidRPr="00F861B8" w:rsidRDefault="0040630B" w:rsidP="00F861B8">
      <w:pPr>
        <w:pStyle w:val="ListParagraph"/>
        <w:numPr>
          <w:ilvl w:val="0"/>
          <w:numId w:val="36"/>
        </w:numPr>
        <w:rPr>
          <w:b/>
          <w:bCs/>
          <w:sz w:val="28"/>
          <w:szCs w:val="28"/>
        </w:rPr>
      </w:pPr>
      <w:r w:rsidRPr="00F861B8">
        <w:rPr>
          <w:b/>
          <w:bCs/>
          <w:sz w:val="28"/>
          <w:szCs w:val="28"/>
        </w:rPr>
        <w:t>Policy on Borrowing in Advance of Need</w:t>
      </w:r>
    </w:p>
    <w:p w14:paraId="20699254" w14:textId="77777777" w:rsidR="00392C2F" w:rsidRPr="00932EE8" w:rsidRDefault="00392C2F" w:rsidP="00383F1D">
      <w:pPr>
        <w:rPr>
          <w:b/>
          <w:bCs/>
        </w:rPr>
      </w:pPr>
    </w:p>
    <w:p w14:paraId="0D1F58B7" w14:textId="77777777" w:rsidR="00D07A73" w:rsidRPr="00932EE8" w:rsidRDefault="0040630B" w:rsidP="00383F1D">
      <w:pPr>
        <w:jc w:val="both"/>
      </w:pPr>
      <w:r w:rsidRPr="00932EE8">
        <w:t xml:space="preserve">The </w:t>
      </w:r>
      <w:r w:rsidR="00D340CC">
        <w:t>C</w:t>
      </w:r>
      <w:r w:rsidR="00F25AD0">
        <w:t xml:space="preserve">ounty </w:t>
      </w:r>
      <w:r w:rsidR="00D340CC">
        <w:t>C</w:t>
      </w:r>
      <w:r w:rsidR="00F25AD0">
        <w:t>ouncil</w:t>
      </w:r>
      <w:r w:rsidRPr="00932EE8">
        <w:t xml:space="preserve"> will not borrow more than or in advance of need </w:t>
      </w:r>
      <w:r w:rsidR="00FC67A8" w:rsidRPr="00932EE8">
        <w:t>with the objective of</w:t>
      </w:r>
      <w:r w:rsidRPr="00932EE8">
        <w:t xml:space="preserve"> profit</w:t>
      </w:r>
      <w:r w:rsidR="00FC67A8" w:rsidRPr="00932EE8">
        <w:t>ing</w:t>
      </w:r>
      <w:r w:rsidRPr="00932EE8">
        <w:t xml:space="preserve"> from the investment of the </w:t>
      </w:r>
      <w:r w:rsidR="00D07A73" w:rsidRPr="00932EE8">
        <w:t xml:space="preserve">additional </w:t>
      </w:r>
      <w:r w:rsidRPr="00932EE8">
        <w:t xml:space="preserve">sums borrowed. </w:t>
      </w:r>
    </w:p>
    <w:p w14:paraId="069B20CD" w14:textId="77777777" w:rsidR="00256318" w:rsidRPr="00932EE8" w:rsidRDefault="00256318" w:rsidP="00383F1D">
      <w:pPr>
        <w:jc w:val="both"/>
      </w:pPr>
    </w:p>
    <w:p w14:paraId="0846146B" w14:textId="77777777" w:rsidR="00D07A73" w:rsidRDefault="006C35ED" w:rsidP="00383F1D">
      <w:pPr>
        <w:jc w:val="both"/>
      </w:pPr>
      <w:r w:rsidRPr="00932EE8">
        <w:t>However, b</w:t>
      </w:r>
      <w:r w:rsidR="00D07A73" w:rsidRPr="00932EE8">
        <w:t>orrowing in advance of need</w:t>
      </w:r>
      <w:r w:rsidR="00FA5EFC">
        <w:t xml:space="preserve"> is appropriate </w:t>
      </w:r>
      <w:r w:rsidR="00D07A73" w:rsidRPr="00932EE8">
        <w:t>in the following circumstances:</w:t>
      </w:r>
    </w:p>
    <w:p w14:paraId="038A0C57" w14:textId="77777777" w:rsidR="00FA5EFC" w:rsidRPr="00932EE8" w:rsidRDefault="00FA5EFC" w:rsidP="00383F1D">
      <w:pPr>
        <w:jc w:val="both"/>
      </w:pPr>
    </w:p>
    <w:p w14:paraId="6208134F" w14:textId="77777777" w:rsidR="00D07A73" w:rsidRPr="00932EE8" w:rsidRDefault="00D07A73" w:rsidP="00383F1D">
      <w:pPr>
        <w:pStyle w:val="ListParagraph"/>
        <w:numPr>
          <w:ilvl w:val="0"/>
          <w:numId w:val="5"/>
        </w:numPr>
        <w:jc w:val="both"/>
      </w:pPr>
      <w:r w:rsidRPr="00932EE8">
        <w:t>Where there is a defined need to finance future capital investment that will materialise in a defined timescale of 2 years or less; and</w:t>
      </w:r>
    </w:p>
    <w:p w14:paraId="6AD9B642" w14:textId="77777777" w:rsidR="00E55677" w:rsidRPr="00932EE8" w:rsidRDefault="00E55677" w:rsidP="00383F1D">
      <w:pPr>
        <w:pStyle w:val="ListParagraph"/>
        <w:jc w:val="both"/>
      </w:pPr>
    </w:p>
    <w:p w14:paraId="3D31E5C8" w14:textId="77777777" w:rsidR="00D07A73" w:rsidRPr="00BE3CE5" w:rsidRDefault="00D07A73" w:rsidP="00383F1D">
      <w:pPr>
        <w:pStyle w:val="ListParagraph"/>
        <w:numPr>
          <w:ilvl w:val="0"/>
          <w:numId w:val="5"/>
        </w:numPr>
        <w:jc w:val="both"/>
      </w:pPr>
      <w:r w:rsidRPr="00BE3CE5">
        <w:t xml:space="preserve">Where the most advantageous method of raising capital finance requires the </w:t>
      </w:r>
      <w:r w:rsidR="00D340CC">
        <w:t>C</w:t>
      </w:r>
      <w:r w:rsidR="00F25AD0">
        <w:t xml:space="preserve">ounty </w:t>
      </w:r>
      <w:r w:rsidR="00D340CC">
        <w:t>C</w:t>
      </w:r>
      <w:r w:rsidR="00F25AD0">
        <w:t>ouncil</w:t>
      </w:r>
      <w:r w:rsidRPr="00BE3CE5">
        <w:t xml:space="preserve"> to raise funds in a quantity greater than would be required in any one year, or</w:t>
      </w:r>
    </w:p>
    <w:p w14:paraId="3E490166" w14:textId="77777777" w:rsidR="00E55677" w:rsidRPr="00932EE8" w:rsidRDefault="00E55677" w:rsidP="00383F1D">
      <w:pPr>
        <w:pStyle w:val="ListParagraph"/>
        <w:jc w:val="both"/>
      </w:pPr>
    </w:p>
    <w:p w14:paraId="2BCA79A7" w14:textId="5CEDAF3A" w:rsidR="005A49A7" w:rsidRDefault="006C35ED" w:rsidP="00186F66">
      <w:pPr>
        <w:pStyle w:val="ListParagraph"/>
        <w:numPr>
          <w:ilvl w:val="0"/>
          <w:numId w:val="5"/>
        </w:numPr>
        <w:jc w:val="both"/>
      </w:pPr>
      <w:r w:rsidRPr="00932EE8">
        <w:t xml:space="preserve">Where in the view of the </w:t>
      </w:r>
      <w:r w:rsidR="00CF5E98">
        <w:t>section 151 officer</w:t>
      </w:r>
      <w:r w:rsidRPr="00932EE8">
        <w:t>, based on external advice, the achievement of value for money</w:t>
      </w:r>
      <w:r w:rsidR="00D07A73" w:rsidRPr="00932EE8">
        <w:t xml:space="preserve"> </w:t>
      </w:r>
      <w:r w:rsidRPr="00932EE8">
        <w:t>would be prejudiced by delaying borrowing beyond the 2 year horizon.</w:t>
      </w:r>
    </w:p>
    <w:p w14:paraId="2568342A" w14:textId="77777777" w:rsidR="00186F66" w:rsidRDefault="00186F66" w:rsidP="00186F66">
      <w:pPr>
        <w:pStyle w:val="ListParagraph"/>
        <w:jc w:val="both"/>
      </w:pPr>
    </w:p>
    <w:p w14:paraId="11A9BF68" w14:textId="77777777" w:rsidR="0082655F" w:rsidRPr="00932EE8" w:rsidRDefault="0082655F" w:rsidP="00186F66">
      <w:pPr>
        <w:spacing w:after="240"/>
        <w:jc w:val="both"/>
      </w:pPr>
      <w:r w:rsidRPr="00932EE8">
        <w:t xml:space="preserve">Having satisfied </w:t>
      </w:r>
      <w:r w:rsidR="00D340CC">
        <w:t xml:space="preserve">any of </w:t>
      </w:r>
      <w:r w:rsidRPr="00932EE8">
        <w:t xml:space="preserve">these criteria </w:t>
      </w:r>
      <w:r w:rsidR="0071599D" w:rsidRPr="00932EE8">
        <w:t>any proposal to borrow in advance of need would also need to be reviewed against the following factors:</w:t>
      </w:r>
    </w:p>
    <w:p w14:paraId="3820B40D" w14:textId="77777777" w:rsidR="0071599D" w:rsidRPr="00932EE8" w:rsidRDefault="0071599D" w:rsidP="00186F66">
      <w:pPr>
        <w:numPr>
          <w:ilvl w:val="0"/>
          <w:numId w:val="6"/>
        </w:numPr>
        <w:spacing w:after="240"/>
        <w:jc w:val="both"/>
      </w:pPr>
      <w:r w:rsidRPr="00932EE8">
        <w:t>Whether the ongoing revenue liabilities created, and the implications for the future plans and budgets have been considered and reflected in those plans and budgets</w:t>
      </w:r>
      <w:r w:rsidR="00FC67A8" w:rsidRPr="00932EE8">
        <w:t>, and the value for money of the proposal has been fully evaluated.</w:t>
      </w:r>
    </w:p>
    <w:p w14:paraId="59A82433" w14:textId="77777777" w:rsidR="0071599D" w:rsidRPr="00932EE8" w:rsidRDefault="0071599D" w:rsidP="00186F66">
      <w:pPr>
        <w:numPr>
          <w:ilvl w:val="0"/>
          <w:numId w:val="6"/>
        </w:numPr>
        <w:spacing w:after="240"/>
        <w:jc w:val="both"/>
      </w:pPr>
      <w:r w:rsidRPr="00932EE8">
        <w:t>The merits and demerits of alternative forms of funding.</w:t>
      </w:r>
    </w:p>
    <w:p w14:paraId="22818B53" w14:textId="77777777" w:rsidR="0071599D" w:rsidRPr="00932EE8" w:rsidRDefault="0071599D" w:rsidP="00186F66">
      <w:pPr>
        <w:numPr>
          <w:ilvl w:val="0"/>
          <w:numId w:val="6"/>
        </w:numPr>
        <w:tabs>
          <w:tab w:val="left" w:pos="1418"/>
        </w:tabs>
        <w:spacing w:after="240"/>
        <w:jc w:val="both"/>
        <w:rPr>
          <w:b/>
          <w:bCs/>
        </w:rPr>
      </w:pPr>
      <w:r w:rsidRPr="00932EE8">
        <w:t xml:space="preserve">The alternative interest rate bases available, the most appropriate periods </w:t>
      </w:r>
      <w:r w:rsidR="003F6C29" w:rsidRPr="00932EE8">
        <w:t xml:space="preserve">over which </w:t>
      </w:r>
      <w:r w:rsidRPr="00932EE8">
        <w:t>to fund and repayment profiles to use.</w:t>
      </w:r>
    </w:p>
    <w:p w14:paraId="5ECABDFA" w14:textId="132A2D21" w:rsidR="00AF47E6" w:rsidRDefault="00B45A3F" w:rsidP="00D635B5">
      <w:pPr>
        <w:spacing w:after="240"/>
        <w:jc w:val="both"/>
      </w:pPr>
      <w:r w:rsidRPr="00932EE8">
        <w:t>All decisions will be documented reflecting the assessment of these circumstances and criteria.</w:t>
      </w:r>
    </w:p>
    <w:p w14:paraId="676526D4" w14:textId="77777777" w:rsidR="00186F66" w:rsidRPr="00D635B5" w:rsidRDefault="00186F66" w:rsidP="00D635B5">
      <w:pPr>
        <w:spacing w:after="240"/>
        <w:jc w:val="both"/>
      </w:pPr>
    </w:p>
    <w:p w14:paraId="22E6FCF5" w14:textId="77777777" w:rsidR="00BF705E" w:rsidRPr="00062C5C" w:rsidRDefault="004A19C1" w:rsidP="00BF705E">
      <w:pPr>
        <w:pStyle w:val="ListParagraph"/>
        <w:numPr>
          <w:ilvl w:val="0"/>
          <w:numId w:val="36"/>
        </w:numPr>
        <w:spacing w:after="240"/>
        <w:rPr>
          <w:b/>
          <w:bCs/>
          <w:sz w:val="28"/>
          <w:szCs w:val="28"/>
        </w:rPr>
      </w:pPr>
      <w:r w:rsidRPr="00062C5C">
        <w:rPr>
          <w:b/>
          <w:bCs/>
          <w:sz w:val="28"/>
          <w:szCs w:val="28"/>
        </w:rPr>
        <w:t>Investment Strategy</w:t>
      </w:r>
    </w:p>
    <w:p w14:paraId="12831461" w14:textId="77777777" w:rsidR="00F11AF0" w:rsidRDefault="00BF705E" w:rsidP="0082655F">
      <w:pPr>
        <w:jc w:val="both"/>
      </w:pPr>
      <w:r>
        <w:t xml:space="preserve">The County Council </w:t>
      </w:r>
      <w:r w:rsidRPr="00BF705E">
        <w:t>holds</w:t>
      </w:r>
      <w:r>
        <w:t xml:space="preserve"> </w:t>
      </w:r>
      <w:r w:rsidR="0068326C" w:rsidRPr="00F0114F">
        <w:t xml:space="preserve">reserves and other cash items </w:t>
      </w:r>
      <w:r>
        <w:t>on</w:t>
      </w:r>
      <w:r w:rsidR="0068326C" w:rsidRPr="00F0114F">
        <w:t xml:space="preserve"> its balance sheet</w:t>
      </w:r>
      <w:r>
        <w:t xml:space="preserve"> which are invested. In investing these cash balances the </w:t>
      </w:r>
      <w:r w:rsidR="00E509DE">
        <w:t xml:space="preserve">County Council follows guidance issued by CIPFA and DCLG which both require the </w:t>
      </w:r>
      <w:r>
        <w:t xml:space="preserve">priorities </w:t>
      </w:r>
      <w:r w:rsidR="00E509DE">
        <w:t>to be:</w:t>
      </w:r>
    </w:p>
    <w:p w14:paraId="49B18AC1" w14:textId="77777777" w:rsidR="00BF705E" w:rsidRDefault="00BF705E" w:rsidP="0040630B">
      <w:pPr>
        <w:spacing w:before="45" w:after="45"/>
        <w:ind w:left="851" w:firstLine="851"/>
        <w:jc w:val="both"/>
      </w:pPr>
    </w:p>
    <w:p w14:paraId="3B24ECD3" w14:textId="77777777" w:rsidR="0040630B" w:rsidRPr="00F0114F" w:rsidRDefault="0040630B" w:rsidP="0040630B">
      <w:pPr>
        <w:spacing w:before="45" w:after="45"/>
        <w:ind w:left="851" w:firstLine="851"/>
        <w:jc w:val="both"/>
      </w:pPr>
      <w:r w:rsidRPr="00F0114F">
        <w:t>(a)</w:t>
      </w:r>
      <w:r w:rsidR="00025990" w:rsidRPr="00F0114F">
        <w:tab/>
      </w:r>
      <w:r w:rsidRPr="00F0114F">
        <w:t>The security of capital</w:t>
      </w:r>
      <w:r w:rsidR="006D1BFA" w:rsidRPr="00F0114F">
        <w:t>,</w:t>
      </w:r>
      <w:r w:rsidRPr="00F0114F">
        <w:t xml:space="preserve"> and </w:t>
      </w:r>
    </w:p>
    <w:p w14:paraId="129E24E9" w14:textId="77777777" w:rsidR="0040630B" w:rsidRPr="00F0114F" w:rsidRDefault="00025990" w:rsidP="0040630B">
      <w:pPr>
        <w:spacing w:before="45" w:after="45"/>
        <w:ind w:left="851" w:firstLine="851"/>
        <w:jc w:val="both"/>
      </w:pPr>
      <w:r w:rsidRPr="00F0114F">
        <w:t>(b)</w:t>
      </w:r>
      <w:r w:rsidRPr="00F0114F">
        <w:tab/>
      </w:r>
      <w:r w:rsidR="0040630B" w:rsidRPr="00F0114F">
        <w:t xml:space="preserve">The liquidity of its investments. </w:t>
      </w:r>
    </w:p>
    <w:p w14:paraId="57FAB258" w14:textId="77777777" w:rsidR="0040630B" w:rsidRPr="00F0114F" w:rsidRDefault="0040630B" w:rsidP="0040630B">
      <w:pPr>
        <w:spacing w:before="45" w:after="45"/>
        <w:ind w:left="851" w:firstLine="851"/>
        <w:jc w:val="both"/>
      </w:pPr>
    </w:p>
    <w:p w14:paraId="4798C08C" w14:textId="77777777" w:rsidR="001D2E3E" w:rsidRDefault="0040630B" w:rsidP="00D635B5">
      <w:pPr>
        <w:spacing w:after="240"/>
        <w:jc w:val="both"/>
      </w:pPr>
      <w:r w:rsidRPr="00F0114F">
        <w:t xml:space="preserve">The </w:t>
      </w:r>
      <w:r w:rsidR="00F11AF0">
        <w:t>C</w:t>
      </w:r>
      <w:r w:rsidR="00F25AD0">
        <w:t xml:space="preserve">ounty </w:t>
      </w:r>
      <w:r w:rsidR="00F11AF0">
        <w:t>C</w:t>
      </w:r>
      <w:r w:rsidR="00F25AD0">
        <w:t>ouncil</w:t>
      </w:r>
      <w:r w:rsidRPr="00F0114F">
        <w:t xml:space="preserve"> will also aim to achieve the optimum return on its investments commensurate with proper levels of security and liquidity. The risk appetite of th</w:t>
      </w:r>
      <w:r w:rsidR="0068326C" w:rsidRPr="00F0114F">
        <w:t xml:space="preserve">e </w:t>
      </w:r>
      <w:r w:rsidR="00610538">
        <w:t>C</w:t>
      </w:r>
      <w:r w:rsidR="00F25AD0">
        <w:t xml:space="preserve">ounty </w:t>
      </w:r>
      <w:r w:rsidR="00610538">
        <w:t>C</w:t>
      </w:r>
      <w:r w:rsidR="00F25AD0">
        <w:t>ouncil</w:t>
      </w:r>
      <w:r w:rsidRPr="00F0114F">
        <w:t xml:space="preserve"> is low in order to give priority to security of its investments.</w:t>
      </w:r>
    </w:p>
    <w:p w14:paraId="4A1F87E3" w14:textId="77777777" w:rsidR="00E509DE" w:rsidRPr="00E509DE" w:rsidRDefault="00E509DE" w:rsidP="00D635B5">
      <w:pPr>
        <w:spacing w:after="240"/>
        <w:jc w:val="both"/>
        <w:rPr>
          <w:i/>
        </w:rPr>
      </w:pPr>
      <w:r w:rsidRPr="00E509DE">
        <w:rPr>
          <w:i/>
        </w:rPr>
        <w:t>6.1 Approved Counterparties</w:t>
      </w:r>
    </w:p>
    <w:p w14:paraId="36ACDED1" w14:textId="77777777" w:rsidR="00982D55" w:rsidRDefault="001D2E3E" w:rsidP="00D635B5">
      <w:pPr>
        <w:jc w:val="both"/>
      </w:pPr>
      <w:r w:rsidRPr="00F0114F">
        <w:t xml:space="preserve">The counterparty credit matrix </w:t>
      </w:r>
      <w:r w:rsidR="008D79FF" w:rsidRPr="00F0114F">
        <w:t xml:space="preserve">is </w:t>
      </w:r>
      <w:r w:rsidRPr="00F0114F">
        <w:t xml:space="preserve">at the heart of Lancashire </w:t>
      </w:r>
      <w:r w:rsidR="00982D55">
        <w:t>C</w:t>
      </w:r>
      <w:r w:rsidR="00F25AD0">
        <w:t xml:space="preserve">ounty </w:t>
      </w:r>
      <w:r w:rsidR="00982D55">
        <w:t>C</w:t>
      </w:r>
      <w:r w:rsidR="00F25AD0">
        <w:t>ouncil</w:t>
      </w:r>
      <w:r w:rsidRPr="00F0114F">
        <w:t xml:space="preserve">'s Treasury Management Policy and Strategy </w:t>
      </w:r>
      <w:r w:rsidR="008D79FF" w:rsidRPr="00F0114F">
        <w:t xml:space="preserve">and has always been </w:t>
      </w:r>
      <w:r w:rsidRPr="00F0114F">
        <w:t xml:space="preserve">conservatively constructed to protect the </w:t>
      </w:r>
      <w:r w:rsidR="00DB4AB1">
        <w:t>C</w:t>
      </w:r>
      <w:r w:rsidR="00F25AD0">
        <w:t xml:space="preserve">ounty </w:t>
      </w:r>
      <w:r w:rsidR="00DB4AB1">
        <w:t>C</w:t>
      </w:r>
      <w:r w:rsidR="00F25AD0">
        <w:t>ouncil</w:t>
      </w:r>
      <w:r w:rsidRPr="00F0114F">
        <w:t xml:space="preserve"> against credit risk whilst allowing for efficient and prudent investment activity</w:t>
      </w:r>
      <w:r w:rsidR="008D79FF" w:rsidRPr="00F0114F">
        <w:t>.</w:t>
      </w:r>
      <w:r w:rsidRPr="00F0114F">
        <w:t xml:space="preserve"> </w:t>
      </w:r>
    </w:p>
    <w:p w14:paraId="20ECB91E" w14:textId="77777777" w:rsidR="0061423D" w:rsidRDefault="0061423D" w:rsidP="00D635B5">
      <w:pPr>
        <w:jc w:val="both"/>
      </w:pPr>
    </w:p>
    <w:p w14:paraId="3486686D" w14:textId="77777777" w:rsidR="00BF289B" w:rsidRDefault="002925C3" w:rsidP="00D635B5">
      <w:pPr>
        <w:jc w:val="both"/>
        <w:rPr>
          <w:b/>
        </w:rPr>
      </w:pPr>
      <w:r>
        <w:t xml:space="preserve">However, the </w:t>
      </w:r>
      <w:r w:rsidR="0020514C">
        <w:t>County C</w:t>
      </w:r>
      <w:r w:rsidR="00F25AD0">
        <w:t>ouncil</w:t>
      </w:r>
      <w:r>
        <w:t xml:space="preserve"> does not rely solely on credit ratings in assessing counterparties. Other market information is also monitored such as information from the </w:t>
      </w:r>
      <w:r w:rsidRPr="00F0114F">
        <w:t>credit default swap (CDS) market</w:t>
      </w:r>
      <w:r>
        <w:t xml:space="preserve"> and any press releases in general, thus ensuring the </w:t>
      </w:r>
      <w:r w:rsidR="00DB4AB1">
        <w:t>C</w:t>
      </w:r>
      <w:r w:rsidR="00BF289B" w:rsidRPr="00F0114F">
        <w:t>ouncil transacts with only the highest quality counter-parties</w:t>
      </w:r>
      <w:r w:rsidR="00BF289B" w:rsidRPr="00F0114F">
        <w:rPr>
          <w:b/>
        </w:rPr>
        <w:t xml:space="preserve">.  </w:t>
      </w:r>
    </w:p>
    <w:p w14:paraId="2360DDBD" w14:textId="77777777" w:rsidR="0061423D" w:rsidRDefault="0061423D" w:rsidP="00D635B5">
      <w:pPr>
        <w:jc w:val="both"/>
        <w:rPr>
          <w:b/>
        </w:rPr>
      </w:pPr>
    </w:p>
    <w:p w14:paraId="562761B8" w14:textId="77777777" w:rsidR="0061423D" w:rsidRDefault="0061423D" w:rsidP="00D635B5">
      <w:pPr>
        <w:jc w:val="both"/>
      </w:pPr>
      <w:r w:rsidRPr="00F861B8">
        <w:t xml:space="preserve">The </w:t>
      </w:r>
      <w:r w:rsidR="00DB4AB1">
        <w:t>C</w:t>
      </w:r>
      <w:r w:rsidRPr="00F861B8">
        <w:t xml:space="preserve">ouncil requires very high credit ratings for an organisation to be considered a suitable counterparty for investment purposes. Despite a number of downgrades within the financial sector the </w:t>
      </w:r>
      <w:r w:rsidR="00DB4AB1">
        <w:t>C</w:t>
      </w:r>
      <w:r w:rsidRPr="00F861B8">
        <w:t xml:space="preserve">ounty </w:t>
      </w:r>
      <w:r w:rsidR="00DB4AB1">
        <w:t>C</w:t>
      </w:r>
      <w:r w:rsidRPr="00F861B8">
        <w:t xml:space="preserve">ouncil has not reduced the credit ratings required </w:t>
      </w:r>
      <w:r w:rsidR="00DB4AB1">
        <w:t>of</w:t>
      </w:r>
      <w:r w:rsidRPr="00F861B8">
        <w:t xml:space="preserve"> its counterparties, but has maintained the existing very high ratings required for short, medium and long term investments.</w:t>
      </w:r>
      <w:r w:rsidR="006B5382" w:rsidRPr="006B5382">
        <w:t xml:space="preserve"> </w:t>
      </w:r>
      <w:r w:rsidRPr="00F861B8">
        <w:t>These are set out below:</w:t>
      </w:r>
    </w:p>
    <w:p w14:paraId="3FDCA350" w14:textId="77777777" w:rsidR="00054FDF" w:rsidRPr="00F861B8" w:rsidRDefault="00054FDF" w:rsidP="00D635B5">
      <w:pPr>
        <w:jc w:val="both"/>
      </w:pPr>
    </w:p>
    <w:p w14:paraId="0E721B3E" w14:textId="77777777" w:rsidR="00BF289B" w:rsidRPr="00F0114F" w:rsidRDefault="00BF289B" w:rsidP="00D635B5">
      <w:pPr>
        <w:numPr>
          <w:ilvl w:val="0"/>
          <w:numId w:val="14"/>
        </w:numPr>
        <w:jc w:val="both"/>
      </w:pPr>
      <w:r w:rsidRPr="00F0114F">
        <w:rPr>
          <w:b/>
        </w:rPr>
        <w:t>For short term lending of up to 1 year</w:t>
      </w:r>
      <w:r w:rsidRPr="00F0114F">
        <w:t xml:space="preserve"> </w:t>
      </w:r>
      <w:r w:rsidR="00DB4AB1">
        <w:t xml:space="preserve">- </w:t>
      </w:r>
      <w:r w:rsidRPr="00F0114F">
        <w:t>that the short term ratings from the ratings agencies be used and that a counter-party must have a minimum of the following:</w:t>
      </w:r>
    </w:p>
    <w:p w14:paraId="4A8BD192" w14:textId="77777777" w:rsidR="00BF289B" w:rsidRPr="00F0114F" w:rsidRDefault="00BF289B" w:rsidP="00D635B5">
      <w:pPr>
        <w:ind w:firstLine="720"/>
        <w:jc w:val="both"/>
      </w:pPr>
    </w:p>
    <w:p w14:paraId="70F3A2C8" w14:textId="77777777" w:rsidR="00BF289B" w:rsidRPr="00F0114F" w:rsidRDefault="00BF289B" w:rsidP="00D635B5">
      <w:pPr>
        <w:ind w:firstLine="720"/>
        <w:jc w:val="both"/>
      </w:pPr>
      <w:r w:rsidRPr="00F0114F">
        <w:t>Moody's.  P1</w:t>
      </w:r>
    </w:p>
    <w:p w14:paraId="4DB8BD34" w14:textId="77777777" w:rsidR="00BF289B" w:rsidRPr="00F0114F" w:rsidRDefault="00BF289B" w:rsidP="00D635B5">
      <w:pPr>
        <w:ind w:firstLine="720"/>
        <w:jc w:val="both"/>
      </w:pPr>
      <w:r w:rsidRPr="00F0114F">
        <w:t>S&amp;P         A1</w:t>
      </w:r>
    </w:p>
    <w:p w14:paraId="433F591E" w14:textId="77777777" w:rsidR="00BF289B" w:rsidRPr="00F0114F" w:rsidRDefault="00BF289B" w:rsidP="00D635B5">
      <w:pPr>
        <w:ind w:firstLine="720"/>
        <w:jc w:val="both"/>
      </w:pPr>
      <w:r w:rsidRPr="00F0114F">
        <w:t>Fitch.       F1</w:t>
      </w:r>
    </w:p>
    <w:p w14:paraId="704ABCF2" w14:textId="77777777" w:rsidR="00BF289B" w:rsidRPr="00F0114F" w:rsidRDefault="00BF289B" w:rsidP="00D635B5">
      <w:pPr>
        <w:jc w:val="both"/>
      </w:pPr>
    </w:p>
    <w:p w14:paraId="7E3F8313" w14:textId="77777777" w:rsidR="00BF289B" w:rsidRPr="00F0114F" w:rsidRDefault="00BF289B" w:rsidP="00D635B5">
      <w:pPr>
        <w:ind w:left="426"/>
        <w:jc w:val="both"/>
      </w:pPr>
      <w:r w:rsidRPr="00F0114F">
        <w:t xml:space="preserve">Short term ratings were specifically created by the agencies for money market investors as they reflect specifically the liquidity positions of the institutions concerned. </w:t>
      </w:r>
    </w:p>
    <w:p w14:paraId="65947725" w14:textId="77777777" w:rsidR="00BF289B" w:rsidRPr="00F0114F" w:rsidRDefault="00BF289B" w:rsidP="00D635B5">
      <w:pPr>
        <w:jc w:val="both"/>
      </w:pPr>
    </w:p>
    <w:p w14:paraId="0BABC167" w14:textId="77777777" w:rsidR="00BF289B" w:rsidRPr="00F0114F" w:rsidRDefault="00BF289B" w:rsidP="00D635B5">
      <w:pPr>
        <w:numPr>
          <w:ilvl w:val="0"/>
          <w:numId w:val="14"/>
        </w:numPr>
        <w:jc w:val="both"/>
      </w:pPr>
      <w:r w:rsidRPr="00F0114F">
        <w:rPr>
          <w:b/>
        </w:rPr>
        <w:t>For medium term investments</w:t>
      </w:r>
      <w:r w:rsidRPr="00F0114F">
        <w:t xml:space="preserve"> in </w:t>
      </w:r>
      <w:r w:rsidR="00E8740A" w:rsidRPr="00F0114F">
        <w:t xml:space="preserve">the </w:t>
      </w:r>
      <w:r w:rsidRPr="00F0114F">
        <w:t>form of tradeable bonds or certificates of deposit (1yr to 5yrs, where immediate liquidation can be demonstrated), a blended average of the ratings</w:t>
      </w:r>
      <w:r w:rsidR="00FA5EFC">
        <w:t xml:space="preserve"> will</w:t>
      </w:r>
      <w:r w:rsidRPr="00F0114F">
        <w:t xml:space="preserve"> be taken (averaging  across all available ratings) , with a minimum of:</w:t>
      </w:r>
    </w:p>
    <w:p w14:paraId="572742AA" w14:textId="77777777" w:rsidR="00BF289B" w:rsidRPr="00F0114F" w:rsidRDefault="00BF289B" w:rsidP="00D635B5">
      <w:pPr>
        <w:jc w:val="both"/>
      </w:pPr>
    </w:p>
    <w:p w14:paraId="18356115" w14:textId="77777777" w:rsidR="00BF289B" w:rsidRPr="00F0114F" w:rsidRDefault="00BF289B" w:rsidP="00D635B5">
      <w:pPr>
        <w:numPr>
          <w:ilvl w:val="0"/>
          <w:numId w:val="15"/>
        </w:numPr>
        <w:jc w:val="both"/>
      </w:pPr>
      <w:r w:rsidRPr="00F0114F">
        <w:t>Long term AA3/AA-,  and</w:t>
      </w:r>
    </w:p>
    <w:p w14:paraId="52DA16A1" w14:textId="77777777" w:rsidR="00BF289B" w:rsidRPr="00F0114F" w:rsidRDefault="00BF289B" w:rsidP="00D635B5">
      <w:pPr>
        <w:numPr>
          <w:ilvl w:val="0"/>
          <w:numId w:val="15"/>
        </w:numPr>
        <w:jc w:val="both"/>
      </w:pPr>
      <w:r w:rsidRPr="00F0114F">
        <w:t xml:space="preserve">Short term P1/F1+/A1+ </w:t>
      </w:r>
    </w:p>
    <w:p w14:paraId="13A2FA94" w14:textId="77777777" w:rsidR="00BF289B" w:rsidRPr="00F0114F" w:rsidRDefault="00BF289B" w:rsidP="00D635B5">
      <w:pPr>
        <w:ind w:left="720"/>
        <w:jc w:val="both"/>
      </w:pPr>
    </w:p>
    <w:p w14:paraId="6E73BC4E" w14:textId="77777777" w:rsidR="00BF289B" w:rsidRPr="00F0114F" w:rsidRDefault="00BF289B" w:rsidP="00D635B5">
      <w:pPr>
        <w:numPr>
          <w:ilvl w:val="0"/>
          <w:numId w:val="14"/>
        </w:numPr>
        <w:jc w:val="both"/>
      </w:pPr>
      <w:r w:rsidRPr="00F0114F">
        <w:rPr>
          <w:b/>
        </w:rPr>
        <w:t>For longer term investments (5yrs and above</w:t>
      </w:r>
      <w:r w:rsidR="00E8740A" w:rsidRPr="00F0114F">
        <w:rPr>
          <w:b/>
        </w:rPr>
        <w:t>)</w:t>
      </w:r>
      <w:r w:rsidRPr="00F0114F">
        <w:t xml:space="preserve"> in</w:t>
      </w:r>
      <w:r w:rsidR="00E8740A" w:rsidRPr="00F0114F">
        <w:t xml:space="preserve"> the</w:t>
      </w:r>
      <w:r w:rsidRPr="00F0114F">
        <w:t xml:space="preserve"> form of tradeable bonds where immediate liquidation can be demonstrated, a blended average of the ratings</w:t>
      </w:r>
      <w:r w:rsidR="00FA5EFC">
        <w:t xml:space="preserve"> will</w:t>
      </w:r>
      <w:r w:rsidRPr="00F0114F">
        <w:t xml:space="preserve"> be taken, with a minimum of:</w:t>
      </w:r>
    </w:p>
    <w:p w14:paraId="690BF38B" w14:textId="77777777" w:rsidR="00BF289B" w:rsidRPr="00F0114F" w:rsidRDefault="00BF289B" w:rsidP="00D635B5">
      <w:pPr>
        <w:ind w:left="720"/>
        <w:jc w:val="both"/>
      </w:pPr>
    </w:p>
    <w:p w14:paraId="0A8B1B67" w14:textId="77777777" w:rsidR="00BF289B" w:rsidRPr="00F0114F" w:rsidRDefault="00BF289B" w:rsidP="00D635B5">
      <w:pPr>
        <w:numPr>
          <w:ilvl w:val="0"/>
          <w:numId w:val="16"/>
        </w:numPr>
        <w:jc w:val="both"/>
      </w:pPr>
      <w:r w:rsidRPr="00F0114F">
        <w:t>Long term AA2/AA</w:t>
      </w:r>
    </w:p>
    <w:p w14:paraId="15A6F438" w14:textId="77777777" w:rsidR="00BF289B" w:rsidRPr="00F0114F" w:rsidRDefault="00BF289B" w:rsidP="00D635B5">
      <w:pPr>
        <w:numPr>
          <w:ilvl w:val="0"/>
          <w:numId w:val="16"/>
        </w:numPr>
        <w:jc w:val="both"/>
      </w:pPr>
      <w:r w:rsidRPr="00F0114F">
        <w:t>Short term P1/A1+/F1+</w:t>
      </w:r>
    </w:p>
    <w:p w14:paraId="40F3CBDB" w14:textId="77777777" w:rsidR="00BF289B" w:rsidRPr="001143BB" w:rsidRDefault="00BF289B" w:rsidP="00D635B5">
      <w:pPr>
        <w:ind w:left="720"/>
        <w:jc w:val="both"/>
        <w:rPr>
          <w:highlight w:val="yellow"/>
        </w:rPr>
      </w:pPr>
    </w:p>
    <w:p w14:paraId="3167935C" w14:textId="77777777" w:rsidR="00536BC9" w:rsidRPr="007079C4" w:rsidRDefault="00D558CB" w:rsidP="00D635B5">
      <w:pPr>
        <w:jc w:val="both"/>
      </w:pPr>
      <w:r w:rsidRPr="007079C4">
        <w:t xml:space="preserve">The detailed calculation methodology of the blended average will be agreed with the </w:t>
      </w:r>
      <w:r w:rsidR="00F25AD0">
        <w:t>c</w:t>
      </w:r>
      <w:r w:rsidRPr="007079C4">
        <w:t xml:space="preserve">ouncil's advisers and set out in the </w:t>
      </w:r>
      <w:r w:rsidR="00DB4AB1">
        <w:t>t</w:t>
      </w:r>
      <w:r w:rsidRPr="007079C4">
        <w:t xml:space="preserve">reasury </w:t>
      </w:r>
      <w:r w:rsidR="00DB4AB1">
        <w:t>m</w:t>
      </w:r>
      <w:r w:rsidRPr="007079C4">
        <w:t xml:space="preserve">anagement </w:t>
      </w:r>
      <w:r w:rsidR="00DB4AB1">
        <w:t>p</w:t>
      </w:r>
      <w:r w:rsidRPr="007079C4">
        <w:t>ractices</w:t>
      </w:r>
      <w:r w:rsidR="00DB4AB1">
        <w:t xml:space="preserve"> document</w:t>
      </w:r>
      <w:r w:rsidRPr="007079C4">
        <w:t>.</w:t>
      </w:r>
    </w:p>
    <w:p w14:paraId="6D8D0217" w14:textId="77777777" w:rsidR="00536BC9" w:rsidRPr="007079C4" w:rsidRDefault="00536BC9" w:rsidP="00D635B5">
      <w:pPr>
        <w:jc w:val="both"/>
      </w:pPr>
    </w:p>
    <w:p w14:paraId="7D26FC78" w14:textId="77777777" w:rsidR="00C06EC5" w:rsidRPr="007079C4" w:rsidRDefault="0020514C" w:rsidP="00D635B5">
      <w:pPr>
        <w:spacing w:after="240"/>
        <w:jc w:val="both"/>
      </w:pPr>
      <w:r>
        <w:t>If</w:t>
      </w:r>
      <w:r w:rsidR="00C06EC5" w:rsidRPr="007079C4">
        <w:t xml:space="preserve"> </w:t>
      </w:r>
      <w:r>
        <w:t xml:space="preserve">the counterparty of </w:t>
      </w:r>
      <w:r w:rsidR="00C06EC5" w:rsidRPr="007079C4">
        <w:t>an existing investment</w:t>
      </w:r>
      <w:r>
        <w:t xml:space="preserve"> falls outside the policy</w:t>
      </w:r>
      <w:r w:rsidR="00C06EC5" w:rsidRPr="007079C4">
        <w:t xml:space="preserve"> due to a change in credit rating,</w:t>
      </w:r>
      <w:r>
        <w:t xml:space="preserve"> </w:t>
      </w:r>
      <w:r w:rsidR="00C06EC5" w:rsidRPr="007079C4">
        <w:t>full consideration will be made, taking into account all relevant information, as to whether a premature settlement of the investment should be negotiated</w:t>
      </w:r>
      <w:r>
        <w:t>.</w:t>
      </w:r>
    </w:p>
    <w:p w14:paraId="5BB080AD" w14:textId="77777777" w:rsidR="00E509DE" w:rsidRDefault="00C06EC5" w:rsidP="00D635B5">
      <w:pPr>
        <w:spacing w:after="240"/>
        <w:jc w:val="both"/>
      </w:pPr>
      <w:r w:rsidRPr="00AA7A0B">
        <w:t>The minimum sovereign rating for investment is AA</w:t>
      </w:r>
      <w:r w:rsidR="0061423D" w:rsidRPr="00AA7A0B">
        <w:t>-</w:t>
      </w:r>
      <w:r w:rsidR="00054FDF">
        <w:t xml:space="preserve"> with the exception of the UK as outlined below.</w:t>
      </w:r>
      <w:r w:rsidR="00967589">
        <w:t xml:space="preserve"> </w:t>
      </w:r>
    </w:p>
    <w:p w14:paraId="1D455B12" w14:textId="77777777" w:rsidR="00E509DE" w:rsidRDefault="00E509DE" w:rsidP="00E509DE">
      <w:pPr>
        <w:spacing w:after="240"/>
        <w:jc w:val="both"/>
      </w:pPr>
      <w:r>
        <w:t>Following the referendum vote to leave the European Union the rating agencies have reviewed the United Kingdom's sovereign ratings. Fitch has downgraded the United Kingdom’s sovereign rating by one notch to AA from AA+, and Standard &amp; Poor’s has downgraded their corresponding rating by two notches to AA from AAA. The outlook from both agencies is negative. Moody's have</w:t>
      </w:r>
      <w:r w:rsidR="00054FDF">
        <w:t xml:space="preserve"> also</w:t>
      </w:r>
      <w:r>
        <w:t xml:space="preserve"> placed the UK on negative outlook.</w:t>
      </w:r>
    </w:p>
    <w:p w14:paraId="08C37C70" w14:textId="77777777" w:rsidR="00E509DE" w:rsidRDefault="00E509DE" w:rsidP="00E509DE">
      <w:pPr>
        <w:spacing w:after="240"/>
        <w:jc w:val="both"/>
      </w:pPr>
      <w:r>
        <w:t xml:space="preserve">Although the current ratings still fall within the current strategy it is not impossible as the BREXIT process proceeds or there is an economic downturn that there will be further downgrades which would result in investments in the UK government Gilts, Treasury Bonds and bodies guaranteed by the UK Government falling outside the Treasury Management policy. This is not a desirable, or given the level of investment in Gilts, a sustainable position. Even if there is a further reduction in the credit rating of the UK the UK Government still represents a safe investment. The government has never defaulted on its payments and as an ultimate solution the Government could prevent insolvency by printing money. Therefore it is proposed that the AA- minimum sovereign rating is not applied to the UK. </w:t>
      </w:r>
      <w:r w:rsidRPr="00791840">
        <w:t xml:space="preserve">However, given that this is theoretically increasing risk within the portfolio it is proposed that limits on the holdings by maturity is introduced as follows:  </w:t>
      </w:r>
    </w:p>
    <w:p w14:paraId="0BE65432" w14:textId="77777777" w:rsidR="00E509DE" w:rsidRPr="00791840" w:rsidRDefault="00E509DE" w:rsidP="00E509DE">
      <w:pPr>
        <w:spacing w:after="240"/>
        <w:jc w:val="both"/>
      </w:pPr>
    </w:p>
    <w:p w14:paraId="1E38A8C1" w14:textId="77777777" w:rsidR="00E509DE" w:rsidRPr="00791840" w:rsidRDefault="00E509DE" w:rsidP="00E509DE">
      <w:pPr>
        <w:spacing w:after="240"/>
        <w:jc w:val="both"/>
      </w:pPr>
      <w:r w:rsidRPr="00791840">
        <w:t xml:space="preserve">                                                               £m</w:t>
      </w:r>
    </w:p>
    <w:p w14:paraId="7EAEBC7E" w14:textId="77777777" w:rsidR="00E509DE" w:rsidRPr="00791840" w:rsidRDefault="00E509DE" w:rsidP="00E509DE">
      <w:pPr>
        <w:spacing w:after="240"/>
        <w:jc w:val="both"/>
      </w:pPr>
      <w:r w:rsidRPr="00791840">
        <w:t>Maximum 1 year to maturity                  500</w:t>
      </w:r>
    </w:p>
    <w:p w14:paraId="10821973" w14:textId="6E0AEB10" w:rsidR="00E509DE" w:rsidRPr="00791840" w:rsidRDefault="00E509DE" w:rsidP="00E509DE">
      <w:pPr>
        <w:spacing w:after="240"/>
        <w:jc w:val="both"/>
      </w:pPr>
      <w:r w:rsidRPr="00791840">
        <w:t xml:space="preserve">Maximum maturity up to </w:t>
      </w:r>
      <w:r w:rsidR="008C7355">
        <w:t>1-</w:t>
      </w:r>
      <w:r w:rsidRPr="00791840">
        <w:t>5 years        300</w:t>
      </w:r>
    </w:p>
    <w:p w14:paraId="6A170500" w14:textId="30940B8D" w:rsidR="00E509DE" w:rsidRPr="00791840" w:rsidRDefault="00E509DE" w:rsidP="00E509DE">
      <w:pPr>
        <w:spacing w:after="240"/>
        <w:jc w:val="both"/>
      </w:pPr>
      <w:r w:rsidRPr="00791840">
        <w:t xml:space="preserve">Maximum maturity </w:t>
      </w:r>
      <w:r w:rsidR="008C7355">
        <w:t>5-10</w:t>
      </w:r>
      <w:r w:rsidRPr="00791840">
        <w:t xml:space="preserve"> years   </w:t>
      </w:r>
      <w:r w:rsidR="008C7355">
        <w:t xml:space="preserve">         </w:t>
      </w:r>
      <w:r w:rsidRPr="00791840">
        <w:t xml:space="preserve">   250</w:t>
      </w:r>
    </w:p>
    <w:p w14:paraId="1027C1FF" w14:textId="77777777" w:rsidR="00E509DE" w:rsidRDefault="00E509DE" w:rsidP="00E509DE">
      <w:pPr>
        <w:spacing w:after="240"/>
        <w:jc w:val="both"/>
      </w:pPr>
      <w:r w:rsidRPr="00791840">
        <w:t>Over 10 years                                        250</w:t>
      </w:r>
    </w:p>
    <w:p w14:paraId="4E443573" w14:textId="2E8F85BB" w:rsidR="00820C99" w:rsidRDefault="00FA5EFC" w:rsidP="00D635B5">
      <w:pPr>
        <w:spacing w:after="240"/>
        <w:jc w:val="both"/>
      </w:pPr>
      <w:r>
        <w:t>The table below shows the approved investment Counterparties and Limits</w:t>
      </w:r>
    </w:p>
    <w:p w14:paraId="29C35678" w14:textId="1591B086" w:rsidR="00820C99" w:rsidRDefault="00820C99" w:rsidP="00D635B5">
      <w:pPr>
        <w:spacing w:after="240"/>
        <w:jc w:val="both"/>
      </w:pPr>
      <w:r>
        <w:t xml:space="preserve">Table 3 Approved Investments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486"/>
        <w:gridCol w:w="1351"/>
        <w:gridCol w:w="1351"/>
        <w:gridCol w:w="1890"/>
      </w:tblGrid>
      <w:tr w:rsidR="00217176" w:rsidRPr="00A036BF" w14:paraId="29C7ACBD" w14:textId="77777777" w:rsidTr="00B43138">
        <w:trPr>
          <w:trHeight w:val="1271"/>
          <w:tblHeader/>
        </w:trPr>
        <w:tc>
          <w:tcPr>
            <w:tcW w:w="1629" w:type="pct"/>
            <w:vAlign w:val="center"/>
          </w:tcPr>
          <w:p w14:paraId="0C1BC425" w14:textId="77777777" w:rsidR="007079C4" w:rsidRPr="00A036BF" w:rsidRDefault="007079C4" w:rsidP="00C06EC5">
            <w:pPr>
              <w:jc w:val="center"/>
              <w:rPr>
                <w:b/>
                <w:bCs/>
                <w:sz w:val="20"/>
                <w:szCs w:val="20"/>
              </w:rPr>
            </w:pPr>
            <w:r w:rsidRPr="00A036BF">
              <w:rPr>
                <w:b/>
                <w:bCs/>
                <w:sz w:val="20"/>
                <w:szCs w:val="20"/>
              </w:rPr>
              <w:t>Instrument</w:t>
            </w:r>
          </w:p>
        </w:tc>
        <w:tc>
          <w:tcPr>
            <w:tcW w:w="824" w:type="pct"/>
            <w:vAlign w:val="center"/>
          </w:tcPr>
          <w:p w14:paraId="20406DF9" w14:textId="77777777" w:rsidR="007079C4" w:rsidRPr="00A036BF" w:rsidRDefault="005300A7" w:rsidP="00C06EC5">
            <w:pPr>
              <w:jc w:val="center"/>
              <w:rPr>
                <w:b/>
                <w:bCs/>
                <w:sz w:val="20"/>
                <w:szCs w:val="20"/>
              </w:rPr>
            </w:pPr>
            <w:r>
              <w:rPr>
                <w:b/>
                <w:bCs/>
                <w:sz w:val="20"/>
                <w:szCs w:val="20"/>
              </w:rPr>
              <w:t xml:space="preserve">Minimum </w:t>
            </w:r>
            <w:r w:rsidR="007079C4" w:rsidRPr="00A036BF">
              <w:rPr>
                <w:b/>
                <w:bCs/>
                <w:sz w:val="20"/>
                <w:szCs w:val="20"/>
              </w:rPr>
              <w:t>Credit Rating</w:t>
            </w:r>
            <w:r w:rsidR="007079C4" w:rsidRPr="00A036BF">
              <w:rPr>
                <w:b/>
                <w:bCs/>
                <w:sz w:val="20"/>
                <w:szCs w:val="20"/>
              </w:rPr>
              <w:br/>
              <w:t>(blended average)</w:t>
            </w:r>
          </w:p>
        </w:tc>
        <w:tc>
          <w:tcPr>
            <w:tcW w:w="749" w:type="pct"/>
            <w:vAlign w:val="center"/>
          </w:tcPr>
          <w:p w14:paraId="62C7BB94" w14:textId="77777777" w:rsidR="007079C4" w:rsidRPr="00A036BF" w:rsidRDefault="007079C4">
            <w:pPr>
              <w:jc w:val="center"/>
              <w:rPr>
                <w:b/>
                <w:bCs/>
                <w:sz w:val="20"/>
                <w:szCs w:val="20"/>
              </w:rPr>
            </w:pPr>
            <w:r w:rsidRPr="00A036BF">
              <w:rPr>
                <w:b/>
                <w:bCs/>
                <w:sz w:val="20"/>
                <w:szCs w:val="20"/>
              </w:rPr>
              <w:t>Maximum individual Investment</w:t>
            </w:r>
            <w:r w:rsidR="00217176">
              <w:rPr>
                <w:b/>
                <w:bCs/>
                <w:sz w:val="20"/>
                <w:szCs w:val="20"/>
              </w:rPr>
              <w:t xml:space="preserve"> </w:t>
            </w:r>
            <w:r w:rsidRPr="00A036BF">
              <w:rPr>
                <w:b/>
                <w:bCs/>
                <w:sz w:val="20"/>
                <w:szCs w:val="20"/>
              </w:rPr>
              <w:t>(£m</w:t>
            </w:r>
            <w:r w:rsidR="00217176">
              <w:rPr>
                <w:b/>
                <w:bCs/>
                <w:sz w:val="20"/>
                <w:szCs w:val="20"/>
              </w:rPr>
              <w:t>)</w:t>
            </w:r>
          </w:p>
        </w:tc>
        <w:tc>
          <w:tcPr>
            <w:tcW w:w="749" w:type="pct"/>
          </w:tcPr>
          <w:p w14:paraId="2373F99B" w14:textId="77777777" w:rsidR="007079C4" w:rsidRPr="00A036BF" w:rsidRDefault="007079C4" w:rsidP="00C06EC5">
            <w:pPr>
              <w:jc w:val="center"/>
              <w:rPr>
                <w:b/>
                <w:bCs/>
                <w:sz w:val="20"/>
                <w:szCs w:val="20"/>
              </w:rPr>
            </w:pPr>
          </w:p>
          <w:p w14:paraId="333B64CF" w14:textId="77777777" w:rsidR="007079C4" w:rsidRPr="00A036BF" w:rsidRDefault="007079C4" w:rsidP="00C06EC5">
            <w:pPr>
              <w:jc w:val="center"/>
              <w:rPr>
                <w:b/>
                <w:bCs/>
                <w:sz w:val="20"/>
                <w:szCs w:val="20"/>
              </w:rPr>
            </w:pPr>
            <w:r w:rsidRPr="00A036BF">
              <w:rPr>
                <w:b/>
                <w:bCs/>
                <w:sz w:val="20"/>
                <w:szCs w:val="20"/>
              </w:rPr>
              <w:t>Maximum total Investment</w:t>
            </w:r>
            <w:r w:rsidR="00217176">
              <w:rPr>
                <w:b/>
                <w:bCs/>
                <w:sz w:val="20"/>
                <w:szCs w:val="20"/>
              </w:rPr>
              <w:t xml:space="preserve"> </w:t>
            </w:r>
            <w:r w:rsidRPr="00A036BF">
              <w:rPr>
                <w:b/>
                <w:bCs/>
                <w:sz w:val="20"/>
                <w:szCs w:val="20"/>
              </w:rPr>
              <w:t>(£m</w:t>
            </w:r>
            <w:r w:rsidR="00217176">
              <w:rPr>
                <w:b/>
                <w:bCs/>
                <w:sz w:val="20"/>
                <w:szCs w:val="20"/>
              </w:rPr>
              <w:t>)</w:t>
            </w:r>
          </w:p>
        </w:tc>
        <w:tc>
          <w:tcPr>
            <w:tcW w:w="1048" w:type="pct"/>
            <w:vAlign w:val="center"/>
          </w:tcPr>
          <w:p w14:paraId="08972734" w14:textId="77777777" w:rsidR="007079C4" w:rsidRPr="00A036BF" w:rsidRDefault="007079C4" w:rsidP="00C06EC5">
            <w:pPr>
              <w:jc w:val="center"/>
              <w:rPr>
                <w:b/>
                <w:bCs/>
                <w:sz w:val="20"/>
                <w:szCs w:val="20"/>
              </w:rPr>
            </w:pPr>
            <w:r w:rsidRPr="00A036BF">
              <w:rPr>
                <w:b/>
                <w:bCs/>
                <w:sz w:val="20"/>
                <w:szCs w:val="20"/>
              </w:rPr>
              <w:t>Maximum Period</w:t>
            </w:r>
          </w:p>
        </w:tc>
      </w:tr>
      <w:tr w:rsidR="00217176" w:rsidRPr="00A036BF" w14:paraId="48528342" w14:textId="77777777" w:rsidTr="00B43138">
        <w:trPr>
          <w:trHeight w:val="684"/>
        </w:trPr>
        <w:tc>
          <w:tcPr>
            <w:tcW w:w="1629" w:type="pct"/>
            <w:vAlign w:val="center"/>
          </w:tcPr>
          <w:p w14:paraId="6C3AA700" w14:textId="77777777" w:rsidR="004F1819" w:rsidRDefault="004F1819" w:rsidP="00C06EC5">
            <w:pPr>
              <w:rPr>
                <w:sz w:val="20"/>
                <w:szCs w:val="20"/>
              </w:rPr>
            </w:pPr>
          </w:p>
          <w:p w14:paraId="21258AC3" w14:textId="77777777" w:rsidR="007079C4" w:rsidRDefault="007079C4" w:rsidP="00C06EC5">
            <w:pPr>
              <w:rPr>
                <w:bCs/>
                <w:sz w:val="20"/>
                <w:szCs w:val="20"/>
              </w:rPr>
            </w:pPr>
            <w:r w:rsidRPr="00A036BF">
              <w:rPr>
                <w:sz w:val="20"/>
                <w:szCs w:val="20"/>
              </w:rPr>
              <w:t xml:space="preserve">UK Government Gilts, Treasury Bills </w:t>
            </w:r>
            <w:r w:rsidRPr="00A036BF">
              <w:rPr>
                <w:bCs/>
                <w:sz w:val="20"/>
                <w:szCs w:val="20"/>
              </w:rPr>
              <w:t xml:space="preserve">&amp; bodies guaranteed by UK </w:t>
            </w:r>
            <w:proofErr w:type="spellStart"/>
            <w:r w:rsidRPr="00A036BF">
              <w:rPr>
                <w:bCs/>
                <w:sz w:val="20"/>
                <w:szCs w:val="20"/>
              </w:rPr>
              <w:t>Govt</w:t>
            </w:r>
            <w:proofErr w:type="spellEnd"/>
          </w:p>
          <w:p w14:paraId="384913B6" w14:textId="77777777" w:rsidR="004F1819" w:rsidRPr="00A036BF" w:rsidRDefault="004F1819" w:rsidP="00C06EC5">
            <w:pPr>
              <w:rPr>
                <w:bCs/>
                <w:sz w:val="20"/>
                <w:szCs w:val="20"/>
              </w:rPr>
            </w:pPr>
          </w:p>
        </w:tc>
        <w:tc>
          <w:tcPr>
            <w:tcW w:w="824" w:type="pct"/>
            <w:vAlign w:val="center"/>
          </w:tcPr>
          <w:p w14:paraId="668601C9" w14:textId="77777777" w:rsidR="007079C4" w:rsidRPr="00A036BF" w:rsidRDefault="007079C4" w:rsidP="00C06EC5">
            <w:pPr>
              <w:jc w:val="center"/>
              <w:rPr>
                <w:sz w:val="20"/>
                <w:szCs w:val="20"/>
              </w:rPr>
            </w:pPr>
            <w:r w:rsidRPr="00A036BF">
              <w:rPr>
                <w:sz w:val="20"/>
                <w:szCs w:val="20"/>
              </w:rPr>
              <w:t>UK Government</w:t>
            </w:r>
          </w:p>
        </w:tc>
        <w:tc>
          <w:tcPr>
            <w:tcW w:w="749" w:type="pct"/>
            <w:vAlign w:val="center"/>
          </w:tcPr>
          <w:p w14:paraId="3DFF5F9A" w14:textId="77777777" w:rsidR="007079C4" w:rsidRPr="00A036BF" w:rsidRDefault="00D569CD" w:rsidP="00C06EC5">
            <w:pPr>
              <w:jc w:val="center"/>
              <w:rPr>
                <w:sz w:val="20"/>
                <w:szCs w:val="20"/>
              </w:rPr>
            </w:pPr>
            <w:r>
              <w:rPr>
                <w:sz w:val="20"/>
                <w:szCs w:val="20"/>
              </w:rPr>
              <w:t>500</w:t>
            </w:r>
          </w:p>
        </w:tc>
        <w:tc>
          <w:tcPr>
            <w:tcW w:w="749" w:type="pct"/>
            <w:vAlign w:val="center"/>
          </w:tcPr>
          <w:p w14:paraId="090359C9" w14:textId="61229198" w:rsidR="007079C4" w:rsidRPr="00A036BF" w:rsidRDefault="00C85B9C" w:rsidP="008C7355">
            <w:pPr>
              <w:jc w:val="center"/>
              <w:rPr>
                <w:sz w:val="20"/>
                <w:szCs w:val="20"/>
              </w:rPr>
            </w:pPr>
            <w:r>
              <w:rPr>
                <w:sz w:val="20"/>
                <w:szCs w:val="20"/>
              </w:rPr>
              <w:t>1,</w:t>
            </w:r>
            <w:r w:rsidR="008C7355">
              <w:rPr>
                <w:sz w:val="20"/>
                <w:szCs w:val="20"/>
              </w:rPr>
              <w:t>3</w:t>
            </w:r>
            <w:r>
              <w:rPr>
                <w:sz w:val="20"/>
                <w:szCs w:val="20"/>
              </w:rPr>
              <w:t>00</w:t>
            </w:r>
          </w:p>
        </w:tc>
        <w:tc>
          <w:tcPr>
            <w:tcW w:w="1048" w:type="pct"/>
            <w:vAlign w:val="center"/>
          </w:tcPr>
          <w:p w14:paraId="60982865" w14:textId="77777777"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14:paraId="55D7B6E6" w14:textId="77777777" w:rsidTr="00B43138">
        <w:trPr>
          <w:trHeight w:val="836"/>
        </w:trPr>
        <w:tc>
          <w:tcPr>
            <w:tcW w:w="1629" w:type="pct"/>
            <w:vAlign w:val="center"/>
          </w:tcPr>
          <w:p w14:paraId="20824947" w14:textId="77777777" w:rsidR="007079C4" w:rsidRPr="00A036BF" w:rsidRDefault="007079C4" w:rsidP="00C06EC5">
            <w:pPr>
              <w:rPr>
                <w:sz w:val="20"/>
                <w:szCs w:val="20"/>
              </w:rPr>
            </w:pPr>
            <w:r w:rsidRPr="00A036BF">
              <w:rPr>
                <w:sz w:val="20"/>
                <w:szCs w:val="20"/>
              </w:rPr>
              <w:t xml:space="preserve">Sterling Supranational Bonds </w:t>
            </w:r>
            <w:r w:rsidR="00217176">
              <w:rPr>
                <w:sz w:val="20"/>
                <w:szCs w:val="20"/>
              </w:rPr>
              <w:t xml:space="preserve">&amp; </w:t>
            </w:r>
            <w:r w:rsidRPr="00A036BF">
              <w:rPr>
                <w:sz w:val="20"/>
                <w:szCs w:val="20"/>
              </w:rPr>
              <w:t xml:space="preserve">Sterling Sovereign Bonds </w:t>
            </w:r>
          </w:p>
        </w:tc>
        <w:tc>
          <w:tcPr>
            <w:tcW w:w="824" w:type="pct"/>
            <w:vAlign w:val="center"/>
          </w:tcPr>
          <w:p w14:paraId="4141FB84" w14:textId="77777777" w:rsidR="007079C4" w:rsidRPr="00A036BF" w:rsidRDefault="007079C4" w:rsidP="00272267">
            <w:pPr>
              <w:jc w:val="center"/>
              <w:rPr>
                <w:sz w:val="20"/>
                <w:szCs w:val="20"/>
              </w:rPr>
            </w:pPr>
            <w:r w:rsidRPr="00A036BF">
              <w:rPr>
                <w:sz w:val="20"/>
                <w:szCs w:val="20"/>
              </w:rPr>
              <w:t>AA</w:t>
            </w:r>
            <w:r w:rsidR="00272267">
              <w:rPr>
                <w:sz w:val="20"/>
                <w:szCs w:val="20"/>
              </w:rPr>
              <w:t>-</w:t>
            </w:r>
          </w:p>
        </w:tc>
        <w:tc>
          <w:tcPr>
            <w:tcW w:w="749" w:type="pct"/>
            <w:vAlign w:val="center"/>
          </w:tcPr>
          <w:p w14:paraId="1B5ABED0" w14:textId="77777777" w:rsidR="007079C4" w:rsidRPr="00A036BF" w:rsidRDefault="00FE721D" w:rsidP="00C06EC5">
            <w:pPr>
              <w:jc w:val="center"/>
              <w:rPr>
                <w:sz w:val="20"/>
                <w:szCs w:val="20"/>
              </w:rPr>
            </w:pPr>
            <w:r>
              <w:rPr>
                <w:sz w:val="20"/>
                <w:szCs w:val="20"/>
              </w:rPr>
              <w:t>150</w:t>
            </w:r>
          </w:p>
        </w:tc>
        <w:tc>
          <w:tcPr>
            <w:tcW w:w="749" w:type="pct"/>
            <w:vAlign w:val="center"/>
          </w:tcPr>
          <w:p w14:paraId="0356EC76" w14:textId="77777777" w:rsidR="007079C4" w:rsidRPr="00A036BF" w:rsidRDefault="007079C4" w:rsidP="00C06EC5">
            <w:pPr>
              <w:jc w:val="center"/>
              <w:rPr>
                <w:sz w:val="20"/>
                <w:szCs w:val="20"/>
              </w:rPr>
            </w:pPr>
            <w:r w:rsidRPr="00A036BF">
              <w:rPr>
                <w:sz w:val="20"/>
                <w:szCs w:val="20"/>
              </w:rPr>
              <w:t>500</w:t>
            </w:r>
          </w:p>
        </w:tc>
        <w:tc>
          <w:tcPr>
            <w:tcW w:w="1048" w:type="pct"/>
            <w:vAlign w:val="center"/>
          </w:tcPr>
          <w:p w14:paraId="38BA1581" w14:textId="77777777"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14:paraId="0D684D1F" w14:textId="77777777" w:rsidTr="00B43138">
        <w:trPr>
          <w:trHeight w:val="836"/>
        </w:trPr>
        <w:tc>
          <w:tcPr>
            <w:tcW w:w="1629" w:type="pct"/>
            <w:vAlign w:val="center"/>
          </w:tcPr>
          <w:p w14:paraId="4F9088DE" w14:textId="77777777" w:rsidR="004F1819" w:rsidRDefault="004F1819" w:rsidP="00C06EC5">
            <w:pPr>
              <w:spacing w:after="120"/>
              <w:rPr>
                <w:sz w:val="20"/>
                <w:szCs w:val="20"/>
              </w:rPr>
            </w:pPr>
          </w:p>
          <w:p w14:paraId="76DF9B64" w14:textId="77777777" w:rsidR="007079C4" w:rsidRDefault="00DB4AB1" w:rsidP="00C06EC5">
            <w:pPr>
              <w:spacing w:after="120"/>
              <w:rPr>
                <w:sz w:val="20"/>
                <w:szCs w:val="20"/>
              </w:rPr>
            </w:pPr>
            <w:r>
              <w:rPr>
                <w:sz w:val="20"/>
                <w:szCs w:val="20"/>
              </w:rPr>
              <w:t>Corporate Bonds (Short Term less than</w:t>
            </w:r>
            <w:r w:rsidR="007079C4" w:rsidRPr="00A036BF">
              <w:rPr>
                <w:sz w:val="20"/>
                <w:szCs w:val="20"/>
              </w:rPr>
              <w:t xml:space="preserve"> 1yr</w:t>
            </w:r>
            <w:r>
              <w:rPr>
                <w:sz w:val="20"/>
                <w:szCs w:val="20"/>
              </w:rPr>
              <w:t xml:space="preserve"> to maturity)</w:t>
            </w:r>
          </w:p>
          <w:p w14:paraId="7B5936FF" w14:textId="77777777" w:rsidR="004F1819" w:rsidRPr="00A036BF" w:rsidRDefault="004F1819" w:rsidP="00C06EC5">
            <w:pPr>
              <w:spacing w:after="120"/>
              <w:rPr>
                <w:sz w:val="20"/>
                <w:szCs w:val="20"/>
              </w:rPr>
            </w:pPr>
          </w:p>
        </w:tc>
        <w:tc>
          <w:tcPr>
            <w:tcW w:w="824" w:type="pct"/>
            <w:vAlign w:val="center"/>
          </w:tcPr>
          <w:p w14:paraId="289FD597" w14:textId="77777777" w:rsidR="007079C4" w:rsidRPr="00A036BF" w:rsidRDefault="007079C4" w:rsidP="00C06EC5">
            <w:pPr>
              <w:jc w:val="center"/>
              <w:rPr>
                <w:sz w:val="20"/>
                <w:szCs w:val="20"/>
              </w:rPr>
            </w:pPr>
            <w:r w:rsidRPr="00A036BF">
              <w:rPr>
                <w:sz w:val="20"/>
                <w:szCs w:val="20"/>
              </w:rPr>
              <w:t>P1/A1/F1</w:t>
            </w:r>
          </w:p>
        </w:tc>
        <w:tc>
          <w:tcPr>
            <w:tcW w:w="749" w:type="pct"/>
            <w:vAlign w:val="center"/>
          </w:tcPr>
          <w:p w14:paraId="16D1CC90" w14:textId="77777777" w:rsidR="007079C4" w:rsidRPr="00A036BF" w:rsidRDefault="001902E3" w:rsidP="00C06EC5">
            <w:pPr>
              <w:jc w:val="center"/>
              <w:rPr>
                <w:sz w:val="20"/>
                <w:szCs w:val="20"/>
              </w:rPr>
            </w:pPr>
            <w:r>
              <w:rPr>
                <w:sz w:val="20"/>
                <w:szCs w:val="20"/>
              </w:rPr>
              <w:t>40</w:t>
            </w:r>
          </w:p>
        </w:tc>
        <w:tc>
          <w:tcPr>
            <w:tcW w:w="749" w:type="pct"/>
            <w:vAlign w:val="center"/>
          </w:tcPr>
          <w:p w14:paraId="09A16777" w14:textId="77777777" w:rsidR="007079C4" w:rsidRPr="00A036BF" w:rsidRDefault="00C91E91" w:rsidP="00C06EC5">
            <w:pPr>
              <w:jc w:val="center"/>
              <w:rPr>
                <w:sz w:val="20"/>
                <w:szCs w:val="20"/>
              </w:rPr>
            </w:pPr>
            <w:r>
              <w:rPr>
                <w:sz w:val="20"/>
                <w:szCs w:val="20"/>
              </w:rPr>
              <w:t>2</w:t>
            </w:r>
            <w:r w:rsidR="001902E3">
              <w:rPr>
                <w:sz w:val="20"/>
                <w:szCs w:val="20"/>
              </w:rPr>
              <w:t>00</w:t>
            </w:r>
          </w:p>
        </w:tc>
        <w:tc>
          <w:tcPr>
            <w:tcW w:w="1048" w:type="pct"/>
            <w:vAlign w:val="center"/>
          </w:tcPr>
          <w:p w14:paraId="100AE7B9" w14:textId="77777777" w:rsidR="007079C4" w:rsidRPr="00A036BF" w:rsidRDefault="007079C4" w:rsidP="00C06EC5">
            <w:pPr>
              <w:jc w:val="center"/>
              <w:rPr>
                <w:sz w:val="20"/>
                <w:szCs w:val="20"/>
              </w:rPr>
            </w:pPr>
            <w:r w:rsidRPr="00A036BF">
              <w:rPr>
                <w:sz w:val="20"/>
                <w:szCs w:val="20"/>
              </w:rPr>
              <w:t>1yr</w:t>
            </w:r>
          </w:p>
        </w:tc>
      </w:tr>
      <w:tr w:rsidR="00217176" w:rsidRPr="00A036BF" w14:paraId="353CB100" w14:textId="77777777" w:rsidTr="00B43138">
        <w:tc>
          <w:tcPr>
            <w:tcW w:w="1629" w:type="pct"/>
            <w:vAlign w:val="center"/>
          </w:tcPr>
          <w:p w14:paraId="7563587A" w14:textId="77777777" w:rsidR="00D569CD" w:rsidRPr="00F861B8" w:rsidRDefault="00D569CD" w:rsidP="00C06EC5">
            <w:pPr>
              <w:spacing w:after="120"/>
              <w:rPr>
                <w:sz w:val="20"/>
                <w:szCs w:val="20"/>
                <w:highlight w:val="yellow"/>
              </w:rPr>
            </w:pPr>
            <w:r w:rsidRPr="00A036BF">
              <w:rPr>
                <w:sz w:val="20"/>
                <w:szCs w:val="20"/>
              </w:rPr>
              <w:t>Corporate Bonds (Medium term</w:t>
            </w:r>
            <w:r w:rsidR="009B4C00">
              <w:rPr>
                <w:sz w:val="20"/>
                <w:szCs w:val="20"/>
              </w:rPr>
              <w:t xml:space="preserve"> up to 5 years</w:t>
            </w:r>
            <w:r w:rsidRPr="00A036BF">
              <w:rPr>
                <w:sz w:val="20"/>
                <w:szCs w:val="20"/>
              </w:rPr>
              <w:t>)</w:t>
            </w:r>
          </w:p>
        </w:tc>
        <w:tc>
          <w:tcPr>
            <w:tcW w:w="824" w:type="pct"/>
            <w:vAlign w:val="center"/>
          </w:tcPr>
          <w:p w14:paraId="7F4645B0" w14:textId="77777777" w:rsidR="00217176" w:rsidRDefault="00217176" w:rsidP="00C06EC5">
            <w:pPr>
              <w:spacing w:after="120"/>
              <w:jc w:val="center"/>
              <w:rPr>
                <w:sz w:val="20"/>
                <w:szCs w:val="20"/>
              </w:rPr>
            </w:pPr>
          </w:p>
          <w:p w14:paraId="45EC7D6E" w14:textId="77777777" w:rsidR="00D569CD" w:rsidRPr="00A036BF" w:rsidRDefault="00D569CD" w:rsidP="00C06EC5">
            <w:pPr>
              <w:spacing w:after="120"/>
              <w:jc w:val="center"/>
              <w:rPr>
                <w:sz w:val="20"/>
                <w:szCs w:val="20"/>
              </w:rPr>
            </w:pPr>
            <w:r w:rsidRPr="00A036BF">
              <w:rPr>
                <w:sz w:val="20"/>
                <w:szCs w:val="20"/>
              </w:rPr>
              <w:t>AA-</w:t>
            </w:r>
          </w:p>
          <w:p w14:paraId="1C94AE9E" w14:textId="77777777" w:rsidR="00217176" w:rsidRDefault="00D569CD" w:rsidP="00C06EC5">
            <w:pPr>
              <w:spacing w:after="120"/>
              <w:jc w:val="center"/>
              <w:rPr>
                <w:sz w:val="20"/>
                <w:szCs w:val="20"/>
              </w:rPr>
            </w:pPr>
            <w:r w:rsidRPr="00A036BF">
              <w:rPr>
                <w:sz w:val="20"/>
                <w:szCs w:val="20"/>
              </w:rPr>
              <w:t>P1/A1/F1</w:t>
            </w:r>
          </w:p>
          <w:p w14:paraId="0EFBAC15" w14:textId="77777777" w:rsidR="00D569CD" w:rsidRPr="00F861B8" w:rsidRDefault="00D569CD" w:rsidP="00C06EC5">
            <w:pPr>
              <w:spacing w:after="120"/>
              <w:jc w:val="center"/>
              <w:rPr>
                <w:sz w:val="20"/>
                <w:szCs w:val="20"/>
                <w:highlight w:val="yellow"/>
              </w:rPr>
            </w:pPr>
          </w:p>
        </w:tc>
        <w:tc>
          <w:tcPr>
            <w:tcW w:w="749" w:type="pct"/>
            <w:vAlign w:val="center"/>
          </w:tcPr>
          <w:p w14:paraId="68055C72" w14:textId="77777777" w:rsidR="00D569CD" w:rsidRPr="00F861B8" w:rsidRDefault="00FE721D" w:rsidP="00C06EC5">
            <w:pPr>
              <w:spacing w:after="120"/>
              <w:jc w:val="center"/>
              <w:rPr>
                <w:sz w:val="20"/>
                <w:szCs w:val="20"/>
                <w:highlight w:val="yellow"/>
              </w:rPr>
            </w:pPr>
            <w:r>
              <w:rPr>
                <w:sz w:val="20"/>
                <w:szCs w:val="20"/>
              </w:rPr>
              <w:t>100</w:t>
            </w:r>
          </w:p>
        </w:tc>
        <w:tc>
          <w:tcPr>
            <w:tcW w:w="749" w:type="pct"/>
            <w:vAlign w:val="center"/>
          </w:tcPr>
          <w:p w14:paraId="30B871CF" w14:textId="77777777" w:rsidR="00D569CD" w:rsidRPr="00F861B8" w:rsidRDefault="00FE721D" w:rsidP="00C06EC5">
            <w:pPr>
              <w:spacing w:after="120"/>
              <w:jc w:val="center"/>
              <w:rPr>
                <w:sz w:val="20"/>
                <w:szCs w:val="20"/>
                <w:highlight w:val="yellow"/>
              </w:rPr>
            </w:pPr>
            <w:r>
              <w:rPr>
                <w:sz w:val="20"/>
                <w:szCs w:val="20"/>
              </w:rPr>
              <w:t>500</w:t>
            </w:r>
          </w:p>
        </w:tc>
        <w:tc>
          <w:tcPr>
            <w:tcW w:w="1048" w:type="pct"/>
            <w:vAlign w:val="center"/>
          </w:tcPr>
          <w:p w14:paraId="2EF2D75C" w14:textId="77777777" w:rsidR="00D569CD" w:rsidRPr="00F861B8" w:rsidRDefault="00D569CD" w:rsidP="00C06EC5">
            <w:pPr>
              <w:spacing w:after="120"/>
              <w:jc w:val="center"/>
              <w:rPr>
                <w:sz w:val="20"/>
                <w:szCs w:val="20"/>
                <w:highlight w:val="yellow"/>
              </w:rPr>
            </w:pPr>
            <w:r w:rsidRPr="00A036BF">
              <w:rPr>
                <w:sz w:val="20"/>
                <w:szCs w:val="20"/>
              </w:rPr>
              <w:t>5yrs</w:t>
            </w:r>
          </w:p>
        </w:tc>
      </w:tr>
      <w:tr w:rsidR="00217176" w:rsidRPr="00A036BF" w14:paraId="79D2148C" w14:textId="77777777" w:rsidTr="00B43138">
        <w:trPr>
          <w:cantSplit/>
          <w:trHeight w:val="447"/>
        </w:trPr>
        <w:tc>
          <w:tcPr>
            <w:tcW w:w="1629" w:type="pct"/>
            <w:vAlign w:val="center"/>
          </w:tcPr>
          <w:p w14:paraId="745F18E6" w14:textId="77777777" w:rsidR="00D569CD" w:rsidRPr="00A036BF" w:rsidRDefault="00D569CD" w:rsidP="00C06EC5">
            <w:pPr>
              <w:spacing w:after="120"/>
              <w:rPr>
                <w:sz w:val="20"/>
                <w:szCs w:val="20"/>
              </w:rPr>
            </w:pPr>
            <w:r w:rsidRPr="00A036BF">
              <w:rPr>
                <w:sz w:val="20"/>
                <w:szCs w:val="20"/>
              </w:rPr>
              <w:t>Corporate Bonds (Long term)</w:t>
            </w:r>
          </w:p>
        </w:tc>
        <w:tc>
          <w:tcPr>
            <w:tcW w:w="824" w:type="pct"/>
            <w:vAlign w:val="center"/>
          </w:tcPr>
          <w:p w14:paraId="7F4B2FD4" w14:textId="77777777" w:rsidR="00217176" w:rsidRDefault="00217176" w:rsidP="00C06EC5">
            <w:pPr>
              <w:spacing w:after="120"/>
              <w:jc w:val="center"/>
              <w:rPr>
                <w:sz w:val="20"/>
                <w:szCs w:val="20"/>
              </w:rPr>
            </w:pPr>
          </w:p>
          <w:p w14:paraId="0276D706" w14:textId="77777777" w:rsidR="00D569CD" w:rsidRPr="00A036BF" w:rsidRDefault="00D569CD" w:rsidP="00C06EC5">
            <w:pPr>
              <w:spacing w:after="120"/>
              <w:jc w:val="center"/>
              <w:rPr>
                <w:sz w:val="20"/>
                <w:szCs w:val="20"/>
              </w:rPr>
            </w:pPr>
            <w:r w:rsidRPr="00A036BF">
              <w:rPr>
                <w:sz w:val="20"/>
                <w:szCs w:val="20"/>
              </w:rPr>
              <w:t>AA</w:t>
            </w:r>
          </w:p>
          <w:p w14:paraId="2423B029" w14:textId="77777777" w:rsidR="00217176" w:rsidRDefault="00D569CD" w:rsidP="00C06EC5">
            <w:pPr>
              <w:spacing w:after="120"/>
              <w:jc w:val="center"/>
              <w:rPr>
                <w:sz w:val="20"/>
                <w:szCs w:val="20"/>
              </w:rPr>
            </w:pPr>
            <w:r w:rsidRPr="00A036BF">
              <w:rPr>
                <w:sz w:val="20"/>
                <w:szCs w:val="20"/>
              </w:rPr>
              <w:t>P1/A1+/F1+</w:t>
            </w:r>
          </w:p>
          <w:p w14:paraId="0829EA78" w14:textId="77777777" w:rsidR="00D569CD" w:rsidRPr="00A036BF" w:rsidRDefault="00D569CD" w:rsidP="00C06EC5">
            <w:pPr>
              <w:spacing w:after="120"/>
              <w:jc w:val="center"/>
              <w:rPr>
                <w:sz w:val="20"/>
                <w:szCs w:val="20"/>
              </w:rPr>
            </w:pPr>
          </w:p>
        </w:tc>
        <w:tc>
          <w:tcPr>
            <w:tcW w:w="749" w:type="pct"/>
            <w:vAlign w:val="center"/>
          </w:tcPr>
          <w:p w14:paraId="4B14B258" w14:textId="77777777" w:rsidR="00D569CD" w:rsidRPr="00A036BF" w:rsidRDefault="00D569CD" w:rsidP="00C06EC5">
            <w:pPr>
              <w:jc w:val="center"/>
              <w:rPr>
                <w:sz w:val="20"/>
                <w:szCs w:val="20"/>
              </w:rPr>
            </w:pPr>
            <w:r w:rsidRPr="00A036BF">
              <w:rPr>
                <w:sz w:val="20"/>
                <w:szCs w:val="20"/>
              </w:rPr>
              <w:t>50</w:t>
            </w:r>
          </w:p>
        </w:tc>
        <w:tc>
          <w:tcPr>
            <w:tcW w:w="749" w:type="pct"/>
            <w:vAlign w:val="center"/>
          </w:tcPr>
          <w:p w14:paraId="740AAF02" w14:textId="77777777" w:rsidR="00D569CD" w:rsidRPr="00A036BF" w:rsidRDefault="00FE721D" w:rsidP="00C06EC5">
            <w:pPr>
              <w:jc w:val="center"/>
              <w:rPr>
                <w:sz w:val="20"/>
                <w:szCs w:val="20"/>
              </w:rPr>
            </w:pPr>
            <w:r>
              <w:rPr>
                <w:sz w:val="20"/>
                <w:szCs w:val="20"/>
              </w:rPr>
              <w:t>250</w:t>
            </w:r>
          </w:p>
        </w:tc>
        <w:tc>
          <w:tcPr>
            <w:tcW w:w="1048" w:type="pct"/>
            <w:vAlign w:val="center"/>
          </w:tcPr>
          <w:p w14:paraId="58E8E626" w14:textId="77777777" w:rsidR="00D569CD" w:rsidRPr="00A036BF" w:rsidRDefault="00FE721D" w:rsidP="00C06EC5">
            <w:pPr>
              <w:jc w:val="center"/>
              <w:rPr>
                <w:sz w:val="20"/>
                <w:szCs w:val="20"/>
              </w:rPr>
            </w:pPr>
            <w:r>
              <w:rPr>
                <w:sz w:val="20"/>
                <w:szCs w:val="20"/>
              </w:rPr>
              <w:t>50</w:t>
            </w:r>
            <w:r w:rsidR="00D569CD" w:rsidRPr="00A036BF">
              <w:rPr>
                <w:sz w:val="20"/>
                <w:szCs w:val="20"/>
              </w:rPr>
              <w:t>yrs</w:t>
            </w:r>
          </w:p>
        </w:tc>
      </w:tr>
      <w:tr w:rsidR="00217176" w:rsidRPr="00A036BF" w14:paraId="0E38C9FC" w14:textId="77777777" w:rsidTr="00B43138">
        <w:trPr>
          <w:cantSplit/>
          <w:trHeight w:val="447"/>
        </w:trPr>
        <w:tc>
          <w:tcPr>
            <w:tcW w:w="1629" w:type="pct"/>
            <w:vAlign w:val="center"/>
          </w:tcPr>
          <w:p w14:paraId="0B6B2969" w14:textId="77777777" w:rsidR="00D569CD" w:rsidRPr="005B0CCB" w:rsidRDefault="00D569CD">
            <w:pPr>
              <w:spacing w:after="120"/>
              <w:rPr>
                <w:sz w:val="20"/>
                <w:szCs w:val="20"/>
              </w:rPr>
            </w:pPr>
            <w:r w:rsidRPr="005B0CCB" w:rsidDel="00B90874">
              <w:rPr>
                <w:sz w:val="20"/>
                <w:szCs w:val="20"/>
              </w:rPr>
              <w:t xml:space="preserve">Government Bond Repurchase </w:t>
            </w:r>
            <w:r w:rsidR="00272267" w:rsidRPr="00F861B8">
              <w:rPr>
                <w:sz w:val="20"/>
                <w:szCs w:val="20"/>
              </w:rPr>
              <w:t>A</w:t>
            </w:r>
            <w:r w:rsidRPr="005F770C" w:rsidDel="00B90874">
              <w:rPr>
                <w:sz w:val="20"/>
                <w:szCs w:val="20"/>
              </w:rPr>
              <w:t>greements (</w:t>
            </w:r>
            <w:r w:rsidRPr="005B0CCB">
              <w:rPr>
                <w:sz w:val="20"/>
                <w:szCs w:val="20"/>
              </w:rPr>
              <w:t>Repo/</w:t>
            </w:r>
            <w:r w:rsidR="00217176" w:rsidRPr="00F861B8">
              <w:rPr>
                <w:sz w:val="20"/>
                <w:szCs w:val="20"/>
              </w:rPr>
              <w:t xml:space="preserve"> </w:t>
            </w:r>
            <w:r w:rsidRPr="005F770C">
              <w:rPr>
                <w:sz w:val="20"/>
                <w:szCs w:val="20"/>
              </w:rPr>
              <w:t>Reverse Repo)</w:t>
            </w:r>
          </w:p>
        </w:tc>
        <w:tc>
          <w:tcPr>
            <w:tcW w:w="824" w:type="pct"/>
            <w:vAlign w:val="center"/>
          </w:tcPr>
          <w:p w14:paraId="29206003" w14:textId="77777777" w:rsidR="00217176" w:rsidRPr="00F861B8" w:rsidRDefault="00217176" w:rsidP="00C06EC5">
            <w:pPr>
              <w:spacing w:after="120"/>
              <w:jc w:val="center"/>
              <w:rPr>
                <w:sz w:val="20"/>
                <w:szCs w:val="20"/>
              </w:rPr>
            </w:pPr>
          </w:p>
          <w:p w14:paraId="5A1015C6" w14:textId="77777777" w:rsidR="00D569CD" w:rsidRPr="005B0CCB" w:rsidRDefault="00D569CD" w:rsidP="00AA7A0B">
            <w:pPr>
              <w:spacing w:after="120"/>
              <w:jc w:val="center"/>
              <w:rPr>
                <w:sz w:val="20"/>
                <w:szCs w:val="20"/>
              </w:rPr>
            </w:pPr>
            <w:r w:rsidRPr="005F770C">
              <w:rPr>
                <w:sz w:val="20"/>
                <w:szCs w:val="20"/>
              </w:rPr>
              <w:t xml:space="preserve"> </w:t>
            </w:r>
            <w:r w:rsidR="00217176" w:rsidRPr="00F861B8">
              <w:rPr>
                <w:sz w:val="20"/>
                <w:szCs w:val="20"/>
              </w:rPr>
              <w:t>UK Govern</w:t>
            </w:r>
            <w:r w:rsidRPr="005F770C">
              <w:rPr>
                <w:sz w:val="20"/>
                <w:szCs w:val="20"/>
              </w:rPr>
              <w:t xml:space="preserve">ment </w:t>
            </w:r>
          </w:p>
        </w:tc>
        <w:tc>
          <w:tcPr>
            <w:tcW w:w="749" w:type="pct"/>
            <w:vAlign w:val="center"/>
          </w:tcPr>
          <w:p w14:paraId="36204018" w14:textId="77777777" w:rsidR="00D569CD" w:rsidRPr="005B0CCB" w:rsidRDefault="00D569CD" w:rsidP="00C06EC5">
            <w:pPr>
              <w:jc w:val="center"/>
              <w:rPr>
                <w:sz w:val="20"/>
                <w:szCs w:val="20"/>
              </w:rPr>
            </w:pPr>
            <w:r w:rsidRPr="005B0CCB">
              <w:rPr>
                <w:sz w:val="20"/>
                <w:szCs w:val="20"/>
              </w:rPr>
              <w:t>500</w:t>
            </w:r>
          </w:p>
        </w:tc>
        <w:tc>
          <w:tcPr>
            <w:tcW w:w="749" w:type="pct"/>
            <w:vAlign w:val="center"/>
          </w:tcPr>
          <w:p w14:paraId="0E47B988" w14:textId="77777777" w:rsidR="00D569CD" w:rsidRPr="005B0CCB" w:rsidRDefault="00054FDF" w:rsidP="00054FDF">
            <w:pPr>
              <w:jc w:val="center"/>
              <w:rPr>
                <w:sz w:val="20"/>
                <w:szCs w:val="20"/>
              </w:rPr>
            </w:pPr>
            <w:r>
              <w:rPr>
                <w:sz w:val="20"/>
                <w:szCs w:val="20"/>
              </w:rPr>
              <w:t>50</w:t>
            </w:r>
            <w:r w:rsidR="00FE721D" w:rsidRPr="00F861B8">
              <w:rPr>
                <w:sz w:val="20"/>
                <w:szCs w:val="20"/>
              </w:rPr>
              <w:t>0</w:t>
            </w:r>
          </w:p>
        </w:tc>
        <w:tc>
          <w:tcPr>
            <w:tcW w:w="1048" w:type="pct"/>
            <w:vAlign w:val="center"/>
          </w:tcPr>
          <w:p w14:paraId="70A53D97" w14:textId="77777777" w:rsidR="00D569CD" w:rsidRPr="005B0CCB" w:rsidRDefault="00D569CD" w:rsidP="00C06EC5">
            <w:pPr>
              <w:jc w:val="center"/>
              <w:rPr>
                <w:sz w:val="20"/>
                <w:szCs w:val="20"/>
              </w:rPr>
            </w:pPr>
            <w:r w:rsidRPr="005B0CCB">
              <w:rPr>
                <w:sz w:val="20"/>
                <w:szCs w:val="20"/>
              </w:rPr>
              <w:t>1yr</w:t>
            </w:r>
          </w:p>
        </w:tc>
      </w:tr>
      <w:tr w:rsidR="004F1819" w:rsidRPr="00A036BF" w14:paraId="5837F3E8" w14:textId="77777777" w:rsidTr="00B43138">
        <w:trPr>
          <w:cantSplit/>
          <w:trHeight w:val="447"/>
        </w:trPr>
        <w:tc>
          <w:tcPr>
            <w:tcW w:w="1629" w:type="pct"/>
            <w:vAlign w:val="center"/>
          </w:tcPr>
          <w:p w14:paraId="33A99367" w14:textId="77777777" w:rsidR="004F1819" w:rsidRPr="00F861B8" w:rsidRDefault="004F1819" w:rsidP="004F1819">
            <w:pPr>
              <w:spacing w:after="120"/>
              <w:rPr>
                <w:sz w:val="20"/>
                <w:szCs w:val="20"/>
              </w:rPr>
            </w:pPr>
          </w:p>
          <w:p w14:paraId="0B889B81" w14:textId="77777777" w:rsidR="004F1819" w:rsidRPr="00F861B8" w:rsidRDefault="004F1819" w:rsidP="004F1819">
            <w:pPr>
              <w:spacing w:after="120"/>
              <w:rPr>
                <w:sz w:val="20"/>
                <w:szCs w:val="20"/>
              </w:rPr>
            </w:pPr>
            <w:r w:rsidRPr="00F861B8">
              <w:rPr>
                <w:sz w:val="20"/>
                <w:szCs w:val="20"/>
              </w:rPr>
              <w:t xml:space="preserve">Repurchase </w:t>
            </w:r>
            <w:r w:rsidR="00272267" w:rsidRPr="00F861B8">
              <w:rPr>
                <w:sz w:val="20"/>
                <w:szCs w:val="20"/>
              </w:rPr>
              <w:t>Agreements</w:t>
            </w:r>
            <w:r w:rsidRPr="00F861B8">
              <w:rPr>
                <w:sz w:val="20"/>
                <w:szCs w:val="20"/>
              </w:rPr>
              <w:t xml:space="preserve"> (Repo/ Reverse Repo)</w:t>
            </w:r>
          </w:p>
          <w:p w14:paraId="12C2697A" w14:textId="77777777" w:rsidR="004F1819" w:rsidRPr="00F861B8" w:rsidRDefault="004F1819" w:rsidP="00217176">
            <w:pPr>
              <w:spacing w:after="120"/>
              <w:rPr>
                <w:sz w:val="20"/>
                <w:szCs w:val="20"/>
              </w:rPr>
            </w:pPr>
          </w:p>
        </w:tc>
        <w:tc>
          <w:tcPr>
            <w:tcW w:w="824" w:type="pct"/>
            <w:vAlign w:val="center"/>
          </w:tcPr>
          <w:p w14:paraId="475516FB" w14:textId="77777777" w:rsidR="004F1819" w:rsidRPr="00F861B8" w:rsidRDefault="004F1819" w:rsidP="001768FF">
            <w:pPr>
              <w:spacing w:after="120"/>
              <w:jc w:val="center"/>
              <w:rPr>
                <w:sz w:val="20"/>
                <w:szCs w:val="20"/>
              </w:rPr>
            </w:pPr>
            <w:r w:rsidRPr="00F861B8">
              <w:rPr>
                <w:sz w:val="20"/>
                <w:szCs w:val="20"/>
              </w:rPr>
              <w:t>Other AA</w:t>
            </w:r>
            <w:r w:rsidR="001768FF">
              <w:rPr>
                <w:sz w:val="20"/>
                <w:szCs w:val="20"/>
              </w:rPr>
              <w:t>-</w:t>
            </w:r>
          </w:p>
        </w:tc>
        <w:tc>
          <w:tcPr>
            <w:tcW w:w="749" w:type="pct"/>
            <w:vAlign w:val="center"/>
          </w:tcPr>
          <w:p w14:paraId="265F74BA" w14:textId="77777777" w:rsidR="004F1819" w:rsidRPr="00F861B8" w:rsidDel="00FE721D" w:rsidRDefault="004F1819" w:rsidP="00C06EC5">
            <w:pPr>
              <w:jc w:val="center"/>
              <w:rPr>
                <w:sz w:val="20"/>
                <w:szCs w:val="20"/>
              </w:rPr>
            </w:pPr>
            <w:r w:rsidRPr="00F861B8">
              <w:rPr>
                <w:sz w:val="20"/>
                <w:szCs w:val="20"/>
              </w:rPr>
              <w:t>200</w:t>
            </w:r>
          </w:p>
        </w:tc>
        <w:tc>
          <w:tcPr>
            <w:tcW w:w="749" w:type="pct"/>
            <w:vAlign w:val="center"/>
          </w:tcPr>
          <w:p w14:paraId="370DB95F" w14:textId="77777777" w:rsidR="004F1819" w:rsidRPr="00F861B8" w:rsidRDefault="004F1819" w:rsidP="00C06EC5">
            <w:pPr>
              <w:jc w:val="center"/>
              <w:rPr>
                <w:sz w:val="20"/>
                <w:szCs w:val="20"/>
              </w:rPr>
            </w:pPr>
            <w:r w:rsidRPr="00F861B8">
              <w:rPr>
                <w:sz w:val="20"/>
                <w:szCs w:val="20"/>
              </w:rPr>
              <w:t>200</w:t>
            </w:r>
          </w:p>
        </w:tc>
        <w:tc>
          <w:tcPr>
            <w:tcW w:w="1048" w:type="pct"/>
            <w:vAlign w:val="center"/>
          </w:tcPr>
          <w:p w14:paraId="248D3506" w14:textId="77777777" w:rsidR="004F1819" w:rsidRPr="00F861B8" w:rsidRDefault="004F1819" w:rsidP="00C06EC5">
            <w:pPr>
              <w:jc w:val="center"/>
              <w:rPr>
                <w:sz w:val="20"/>
                <w:szCs w:val="20"/>
              </w:rPr>
            </w:pPr>
            <w:r w:rsidRPr="00F861B8">
              <w:rPr>
                <w:sz w:val="20"/>
                <w:szCs w:val="20"/>
              </w:rPr>
              <w:t>1yr</w:t>
            </w:r>
          </w:p>
        </w:tc>
      </w:tr>
      <w:tr w:rsidR="004F1819" w:rsidRPr="00A036BF" w14:paraId="0FCBC701" w14:textId="77777777" w:rsidTr="00B43138">
        <w:trPr>
          <w:cantSplit/>
          <w:trHeight w:val="447"/>
        </w:trPr>
        <w:tc>
          <w:tcPr>
            <w:tcW w:w="1629" w:type="pct"/>
            <w:vAlign w:val="center"/>
          </w:tcPr>
          <w:p w14:paraId="7594E51E" w14:textId="530A344B" w:rsidR="004F1819" w:rsidRPr="00676940" w:rsidRDefault="004F1819" w:rsidP="00186F66">
            <w:pPr>
              <w:spacing w:after="120"/>
              <w:rPr>
                <w:sz w:val="20"/>
                <w:szCs w:val="20"/>
                <w:highlight w:val="yellow"/>
              </w:rPr>
            </w:pPr>
            <w:r w:rsidRPr="00A036BF">
              <w:rPr>
                <w:sz w:val="20"/>
                <w:szCs w:val="20"/>
              </w:rPr>
              <w:t>Bond Funds</w:t>
            </w:r>
            <w:r>
              <w:rPr>
                <w:sz w:val="20"/>
                <w:szCs w:val="20"/>
              </w:rPr>
              <w:t xml:space="preserve"> with weighted average maturity maximum 3 y</w:t>
            </w:r>
            <w:r w:rsidR="00820C99">
              <w:rPr>
                <w:sz w:val="20"/>
                <w:szCs w:val="20"/>
              </w:rPr>
              <w:t>ear</w:t>
            </w:r>
            <w:r>
              <w:rPr>
                <w:sz w:val="20"/>
                <w:szCs w:val="20"/>
              </w:rPr>
              <w:t>s</w:t>
            </w:r>
          </w:p>
        </w:tc>
        <w:tc>
          <w:tcPr>
            <w:tcW w:w="824" w:type="pct"/>
            <w:vAlign w:val="center"/>
          </w:tcPr>
          <w:p w14:paraId="6C26A7EE" w14:textId="77777777" w:rsidR="004F1819" w:rsidRPr="00A036BF" w:rsidRDefault="004F1819" w:rsidP="004F1819">
            <w:pPr>
              <w:jc w:val="center"/>
              <w:rPr>
                <w:sz w:val="20"/>
                <w:szCs w:val="20"/>
              </w:rPr>
            </w:pPr>
          </w:p>
          <w:p w14:paraId="2205555E" w14:textId="77777777" w:rsidR="004F1819" w:rsidRDefault="004F1819" w:rsidP="00C06EC5">
            <w:pPr>
              <w:spacing w:after="120"/>
              <w:jc w:val="center"/>
              <w:rPr>
                <w:sz w:val="20"/>
                <w:szCs w:val="20"/>
                <w:highlight w:val="yellow"/>
              </w:rPr>
            </w:pPr>
            <w:r w:rsidRPr="00A036BF">
              <w:rPr>
                <w:sz w:val="20"/>
                <w:szCs w:val="20"/>
              </w:rPr>
              <w:t xml:space="preserve">AA Rated </w:t>
            </w:r>
            <w:r w:rsidRPr="00A036BF" w:rsidDel="00D569CD">
              <w:rPr>
                <w:sz w:val="20"/>
                <w:szCs w:val="20"/>
              </w:rPr>
              <w:t>weighted average maturity 3yrs</w:t>
            </w:r>
          </w:p>
        </w:tc>
        <w:tc>
          <w:tcPr>
            <w:tcW w:w="749" w:type="pct"/>
            <w:vAlign w:val="center"/>
          </w:tcPr>
          <w:p w14:paraId="41A8AD06" w14:textId="77777777" w:rsidR="004F1819" w:rsidRPr="00676940" w:rsidDel="00FE721D" w:rsidRDefault="004F1819" w:rsidP="00C06EC5">
            <w:pPr>
              <w:jc w:val="center"/>
              <w:rPr>
                <w:sz w:val="20"/>
                <w:szCs w:val="20"/>
                <w:highlight w:val="yellow"/>
              </w:rPr>
            </w:pPr>
            <w:r w:rsidRPr="00A036BF">
              <w:rPr>
                <w:sz w:val="20"/>
                <w:szCs w:val="20"/>
              </w:rPr>
              <w:t>100</w:t>
            </w:r>
          </w:p>
        </w:tc>
        <w:tc>
          <w:tcPr>
            <w:tcW w:w="749" w:type="pct"/>
            <w:vAlign w:val="center"/>
          </w:tcPr>
          <w:p w14:paraId="7F0289A8" w14:textId="77777777" w:rsidR="004F1819" w:rsidRDefault="004F1819" w:rsidP="00C06EC5">
            <w:pPr>
              <w:jc w:val="center"/>
              <w:rPr>
                <w:sz w:val="20"/>
                <w:szCs w:val="20"/>
                <w:highlight w:val="yellow"/>
              </w:rPr>
            </w:pPr>
            <w:r w:rsidRPr="00A036BF">
              <w:rPr>
                <w:sz w:val="20"/>
                <w:szCs w:val="20"/>
              </w:rPr>
              <w:t>250</w:t>
            </w:r>
          </w:p>
        </w:tc>
        <w:tc>
          <w:tcPr>
            <w:tcW w:w="1048" w:type="pct"/>
            <w:vAlign w:val="center"/>
          </w:tcPr>
          <w:p w14:paraId="1F67E101" w14:textId="77777777" w:rsidR="004F1819" w:rsidRDefault="004F1819" w:rsidP="00C06EC5">
            <w:pPr>
              <w:jc w:val="center"/>
              <w:rPr>
                <w:sz w:val="20"/>
                <w:szCs w:val="20"/>
              </w:rPr>
            </w:pPr>
            <w:r w:rsidRPr="00A036BF">
              <w:rPr>
                <w:sz w:val="20"/>
                <w:szCs w:val="20"/>
              </w:rPr>
              <w:t>These investments do not have a defined maturity date.</w:t>
            </w:r>
          </w:p>
          <w:p w14:paraId="6F2F9749" w14:textId="77777777" w:rsidR="004F1819" w:rsidRPr="00676940" w:rsidRDefault="004F1819" w:rsidP="00C06EC5">
            <w:pPr>
              <w:jc w:val="center"/>
              <w:rPr>
                <w:sz w:val="20"/>
                <w:szCs w:val="20"/>
                <w:highlight w:val="yellow"/>
              </w:rPr>
            </w:pPr>
          </w:p>
        </w:tc>
      </w:tr>
      <w:tr w:rsidR="004F1819" w:rsidRPr="00A036BF" w14:paraId="0E2A6C6E" w14:textId="77777777" w:rsidTr="00B43138">
        <w:trPr>
          <w:cantSplit/>
        </w:trPr>
        <w:tc>
          <w:tcPr>
            <w:tcW w:w="1629" w:type="pct"/>
          </w:tcPr>
          <w:p w14:paraId="179E3207" w14:textId="77777777" w:rsidR="004F1819" w:rsidRPr="00A036BF" w:rsidRDefault="004F1819" w:rsidP="00D569CD">
            <w:pPr>
              <w:spacing w:after="240"/>
              <w:rPr>
                <w:sz w:val="20"/>
                <w:szCs w:val="20"/>
              </w:rPr>
            </w:pPr>
          </w:p>
          <w:p w14:paraId="49850786" w14:textId="77777777" w:rsidR="004F1819" w:rsidRDefault="004F1819" w:rsidP="00820C99">
            <w:pPr>
              <w:spacing w:after="240"/>
              <w:rPr>
                <w:sz w:val="20"/>
                <w:szCs w:val="20"/>
              </w:rPr>
            </w:pPr>
            <w:r w:rsidRPr="00A036BF">
              <w:rPr>
                <w:sz w:val="20"/>
                <w:szCs w:val="20"/>
              </w:rPr>
              <w:t>Bond Funds</w:t>
            </w:r>
            <w:r>
              <w:rPr>
                <w:sz w:val="20"/>
                <w:szCs w:val="20"/>
              </w:rPr>
              <w:t xml:space="preserve"> with weighted average maturity maximum 5 y</w:t>
            </w:r>
            <w:r w:rsidR="00820C99">
              <w:rPr>
                <w:sz w:val="20"/>
                <w:szCs w:val="20"/>
              </w:rPr>
              <w:t>ears</w:t>
            </w:r>
          </w:p>
          <w:p w14:paraId="2AF20704" w14:textId="1B65EF24" w:rsidR="00186F66" w:rsidRPr="00A036BF" w:rsidRDefault="00186F66" w:rsidP="00820C99">
            <w:pPr>
              <w:spacing w:after="240"/>
              <w:rPr>
                <w:sz w:val="20"/>
                <w:szCs w:val="20"/>
              </w:rPr>
            </w:pPr>
          </w:p>
        </w:tc>
        <w:tc>
          <w:tcPr>
            <w:tcW w:w="824" w:type="pct"/>
            <w:vAlign w:val="center"/>
          </w:tcPr>
          <w:p w14:paraId="22040171" w14:textId="77777777" w:rsidR="004F1819" w:rsidRPr="00A036BF" w:rsidRDefault="004F1819">
            <w:pPr>
              <w:jc w:val="center"/>
              <w:rPr>
                <w:sz w:val="20"/>
                <w:szCs w:val="20"/>
              </w:rPr>
            </w:pPr>
            <w:r w:rsidRPr="00A036BF">
              <w:rPr>
                <w:sz w:val="20"/>
                <w:szCs w:val="20"/>
              </w:rPr>
              <w:t>AA</w:t>
            </w:r>
            <w:r>
              <w:rPr>
                <w:sz w:val="20"/>
                <w:szCs w:val="20"/>
              </w:rPr>
              <w:t>A</w:t>
            </w:r>
            <w:r w:rsidRPr="00A036BF">
              <w:rPr>
                <w:sz w:val="20"/>
                <w:szCs w:val="20"/>
              </w:rPr>
              <w:t xml:space="preserve"> Rated </w:t>
            </w:r>
          </w:p>
        </w:tc>
        <w:tc>
          <w:tcPr>
            <w:tcW w:w="749" w:type="pct"/>
            <w:vAlign w:val="center"/>
          </w:tcPr>
          <w:p w14:paraId="0EB80F7D" w14:textId="77777777" w:rsidR="004F1819" w:rsidRPr="00A036BF" w:rsidRDefault="004F1819" w:rsidP="00C06EC5">
            <w:pPr>
              <w:spacing w:after="240"/>
              <w:jc w:val="center"/>
              <w:rPr>
                <w:sz w:val="20"/>
                <w:szCs w:val="20"/>
              </w:rPr>
            </w:pPr>
            <w:r w:rsidRPr="00A036BF">
              <w:rPr>
                <w:sz w:val="20"/>
                <w:szCs w:val="20"/>
              </w:rPr>
              <w:t>100</w:t>
            </w:r>
          </w:p>
        </w:tc>
        <w:tc>
          <w:tcPr>
            <w:tcW w:w="749" w:type="pct"/>
            <w:vAlign w:val="center"/>
          </w:tcPr>
          <w:p w14:paraId="4636F42B" w14:textId="77777777" w:rsidR="004F1819" w:rsidRPr="00A036BF" w:rsidRDefault="004F1819" w:rsidP="00C06EC5">
            <w:pPr>
              <w:spacing w:after="240"/>
              <w:jc w:val="center"/>
              <w:rPr>
                <w:sz w:val="20"/>
                <w:szCs w:val="20"/>
              </w:rPr>
            </w:pPr>
            <w:r w:rsidRPr="00A036BF">
              <w:rPr>
                <w:sz w:val="20"/>
                <w:szCs w:val="20"/>
              </w:rPr>
              <w:t>250</w:t>
            </w:r>
          </w:p>
        </w:tc>
        <w:tc>
          <w:tcPr>
            <w:tcW w:w="1048" w:type="pct"/>
            <w:vAlign w:val="center"/>
          </w:tcPr>
          <w:p w14:paraId="4541F395" w14:textId="77777777" w:rsidR="004F1819" w:rsidRPr="00A036BF" w:rsidRDefault="004F1819" w:rsidP="00C06EC5">
            <w:pPr>
              <w:spacing w:after="240"/>
              <w:jc w:val="center"/>
              <w:rPr>
                <w:sz w:val="20"/>
                <w:szCs w:val="20"/>
              </w:rPr>
            </w:pPr>
            <w:r w:rsidRPr="00A036BF">
              <w:rPr>
                <w:sz w:val="20"/>
                <w:szCs w:val="20"/>
              </w:rPr>
              <w:t>These investments do not have a defined maturity date.</w:t>
            </w:r>
          </w:p>
        </w:tc>
      </w:tr>
      <w:tr w:rsidR="004F1819" w:rsidRPr="00A036BF" w14:paraId="64894C84" w14:textId="77777777" w:rsidTr="00B43138">
        <w:trPr>
          <w:trHeight w:val="462"/>
        </w:trPr>
        <w:tc>
          <w:tcPr>
            <w:tcW w:w="1629" w:type="pct"/>
            <w:vAlign w:val="center"/>
          </w:tcPr>
          <w:p w14:paraId="0C8E6E83" w14:textId="77777777" w:rsidR="004F1819" w:rsidRPr="005B0CCB" w:rsidRDefault="004F1819" w:rsidP="00272267">
            <w:pPr>
              <w:pStyle w:val="Header"/>
              <w:spacing w:after="120"/>
              <w:rPr>
                <w:rFonts w:ascii="Arial" w:hAnsi="Arial" w:cs="Arial"/>
                <w:sz w:val="20"/>
                <w:szCs w:val="20"/>
              </w:rPr>
            </w:pPr>
            <w:r w:rsidRPr="005F770C">
              <w:rPr>
                <w:rFonts w:ascii="Arial" w:hAnsi="Arial" w:cs="Arial"/>
                <w:sz w:val="20"/>
                <w:szCs w:val="20"/>
              </w:rPr>
              <w:t>Collateralised lending agreements backed by higher quality government or local government and supra national sterling securities.</w:t>
            </w:r>
            <w:r w:rsidR="00272267" w:rsidRPr="005B0CCB" w:rsidDel="00272267">
              <w:rPr>
                <w:rFonts w:ascii="Arial" w:hAnsi="Arial" w:cs="Arial"/>
                <w:sz w:val="20"/>
                <w:szCs w:val="20"/>
              </w:rPr>
              <w:t xml:space="preserve"> </w:t>
            </w:r>
          </w:p>
        </w:tc>
        <w:tc>
          <w:tcPr>
            <w:tcW w:w="824" w:type="pct"/>
            <w:vAlign w:val="center"/>
          </w:tcPr>
          <w:p w14:paraId="4F32540E" w14:textId="77777777" w:rsidR="004F1819" w:rsidRPr="00F861B8" w:rsidRDefault="004F1819" w:rsidP="00D569CD">
            <w:pPr>
              <w:pStyle w:val="Header"/>
              <w:spacing w:after="120"/>
              <w:rPr>
                <w:rFonts w:ascii="Arial" w:hAnsi="Arial" w:cs="Arial"/>
                <w:sz w:val="20"/>
                <w:szCs w:val="20"/>
              </w:rPr>
            </w:pPr>
          </w:p>
          <w:p w14:paraId="58CF8D54" w14:textId="77777777" w:rsidR="004F1819" w:rsidRPr="005B0CCB" w:rsidRDefault="004F1819">
            <w:pPr>
              <w:pStyle w:val="Header"/>
              <w:spacing w:after="120"/>
              <w:rPr>
                <w:rFonts w:ascii="Arial" w:hAnsi="Arial" w:cs="Arial"/>
                <w:sz w:val="20"/>
                <w:szCs w:val="20"/>
              </w:rPr>
            </w:pP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w:t>
            </w:r>
            <w:r w:rsidR="001902E3">
              <w:rPr>
                <w:rFonts w:ascii="Arial" w:hAnsi="Arial" w:cs="Arial"/>
                <w:sz w:val="20"/>
                <w:szCs w:val="20"/>
              </w:rPr>
              <w:t xml:space="preserve">with cash </w:t>
            </w:r>
            <w:r w:rsidRPr="005B0CCB">
              <w:rPr>
                <w:rFonts w:ascii="Arial" w:hAnsi="Arial" w:cs="Arial"/>
                <w:sz w:val="20"/>
                <w:szCs w:val="20"/>
              </w:rPr>
              <w:t xml:space="preserve">or </w:t>
            </w: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for any collate</w:t>
            </w:r>
            <w:r w:rsidRPr="005B0CCB">
              <w:rPr>
                <w:rFonts w:ascii="Arial" w:hAnsi="Arial" w:cs="Arial"/>
                <w:sz w:val="20"/>
                <w:szCs w:val="20"/>
              </w:rPr>
              <w:t xml:space="preserve">ral </w:t>
            </w:r>
          </w:p>
        </w:tc>
        <w:tc>
          <w:tcPr>
            <w:tcW w:w="749" w:type="pct"/>
            <w:vAlign w:val="center"/>
          </w:tcPr>
          <w:p w14:paraId="2D6DAD1A" w14:textId="77777777" w:rsidR="004F1819" w:rsidRPr="00A036BF" w:rsidRDefault="004F1819" w:rsidP="00217176">
            <w:pPr>
              <w:spacing w:after="120"/>
              <w:jc w:val="center"/>
              <w:rPr>
                <w:sz w:val="20"/>
                <w:szCs w:val="20"/>
              </w:rPr>
            </w:pPr>
            <w:r>
              <w:rPr>
                <w:sz w:val="20"/>
                <w:szCs w:val="20"/>
              </w:rPr>
              <w:t>250</w:t>
            </w:r>
          </w:p>
        </w:tc>
        <w:tc>
          <w:tcPr>
            <w:tcW w:w="749" w:type="pct"/>
            <w:vAlign w:val="center"/>
          </w:tcPr>
          <w:p w14:paraId="63969343" w14:textId="77777777" w:rsidR="004F1819" w:rsidRPr="00A036BF" w:rsidRDefault="004F1819">
            <w:pPr>
              <w:spacing w:after="120"/>
              <w:jc w:val="center"/>
              <w:rPr>
                <w:sz w:val="20"/>
                <w:szCs w:val="20"/>
              </w:rPr>
            </w:pPr>
            <w:r>
              <w:rPr>
                <w:sz w:val="20"/>
                <w:szCs w:val="20"/>
              </w:rPr>
              <w:t>500</w:t>
            </w:r>
          </w:p>
        </w:tc>
        <w:tc>
          <w:tcPr>
            <w:tcW w:w="1048" w:type="pct"/>
            <w:vAlign w:val="center"/>
          </w:tcPr>
          <w:p w14:paraId="229C62DC" w14:textId="77777777" w:rsidR="004F1819" w:rsidRPr="005B0CCB" w:rsidRDefault="004F1819" w:rsidP="00D569CD">
            <w:pPr>
              <w:spacing w:after="120"/>
              <w:jc w:val="center"/>
              <w:rPr>
                <w:sz w:val="20"/>
                <w:szCs w:val="20"/>
              </w:rPr>
            </w:pPr>
            <w:r w:rsidRPr="005F770C">
              <w:rPr>
                <w:sz w:val="20"/>
                <w:szCs w:val="20"/>
              </w:rPr>
              <w:t>25yrs</w:t>
            </w:r>
          </w:p>
        </w:tc>
      </w:tr>
      <w:tr w:rsidR="004F1819" w:rsidRPr="00A036BF" w14:paraId="256EE4EC" w14:textId="77777777" w:rsidTr="00B43138">
        <w:trPr>
          <w:trHeight w:val="1410"/>
        </w:trPr>
        <w:tc>
          <w:tcPr>
            <w:tcW w:w="1629" w:type="pct"/>
            <w:vAlign w:val="center"/>
          </w:tcPr>
          <w:p w14:paraId="02493F72" w14:textId="77777777" w:rsidR="004F1819" w:rsidRPr="00F861B8" w:rsidRDefault="004F1819" w:rsidP="00D569CD">
            <w:pPr>
              <w:pStyle w:val="Header"/>
              <w:rPr>
                <w:rFonts w:ascii="Arial" w:hAnsi="Arial" w:cs="Arial"/>
                <w:sz w:val="20"/>
                <w:szCs w:val="20"/>
              </w:rPr>
            </w:pPr>
          </w:p>
          <w:p w14:paraId="4F13A392" w14:textId="77777777" w:rsidR="004F1819" w:rsidRPr="005B0CCB" w:rsidRDefault="004F1819" w:rsidP="009B4C00">
            <w:pPr>
              <w:pStyle w:val="Header"/>
              <w:rPr>
                <w:rFonts w:ascii="Arial" w:hAnsi="Arial" w:cs="Arial"/>
                <w:sz w:val="20"/>
                <w:szCs w:val="20"/>
              </w:rPr>
            </w:pPr>
            <w:r w:rsidRPr="005F770C">
              <w:rPr>
                <w:rFonts w:ascii="Arial" w:hAnsi="Arial" w:cs="Arial"/>
                <w:sz w:val="20"/>
                <w:szCs w:val="20"/>
              </w:rPr>
              <w:t xml:space="preserve">Call accounts with UK and Overseas Banks (domiciled in UK) </w:t>
            </w:r>
          </w:p>
        </w:tc>
        <w:tc>
          <w:tcPr>
            <w:tcW w:w="824" w:type="pct"/>
            <w:vAlign w:val="center"/>
          </w:tcPr>
          <w:p w14:paraId="3F7709DC" w14:textId="77777777" w:rsidR="004F1819" w:rsidRPr="00F861B8" w:rsidRDefault="004F1819" w:rsidP="00D569CD">
            <w:pPr>
              <w:pStyle w:val="Header"/>
              <w:rPr>
                <w:rFonts w:ascii="Arial" w:hAnsi="Arial" w:cs="Arial"/>
                <w:sz w:val="20"/>
                <w:szCs w:val="20"/>
              </w:rPr>
            </w:pPr>
          </w:p>
          <w:p w14:paraId="54C20407" w14:textId="77777777" w:rsidR="004F1819" w:rsidRPr="005B0CCB" w:rsidDel="009B3EA5" w:rsidRDefault="004F1819" w:rsidP="00D569CD">
            <w:pPr>
              <w:pStyle w:val="Header"/>
              <w:rPr>
                <w:rFonts w:ascii="Arial" w:hAnsi="Arial" w:cs="Arial"/>
                <w:sz w:val="20"/>
                <w:szCs w:val="20"/>
              </w:rPr>
            </w:pPr>
            <w:r w:rsidRPr="005B0CCB" w:rsidDel="009B3EA5">
              <w:rPr>
                <w:rFonts w:ascii="Arial" w:hAnsi="Arial" w:cs="Arial"/>
                <w:sz w:val="20"/>
                <w:szCs w:val="20"/>
              </w:rPr>
              <w:t>P1/A1/F1</w:t>
            </w:r>
          </w:p>
          <w:p w14:paraId="322168D8" w14:textId="77777777" w:rsidR="004F1819" w:rsidRPr="005B0CCB" w:rsidRDefault="004F1819">
            <w:pPr>
              <w:pStyle w:val="Header"/>
              <w:rPr>
                <w:rFonts w:ascii="Arial" w:hAnsi="Arial" w:cs="Arial"/>
                <w:sz w:val="20"/>
                <w:szCs w:val="20"/>
              </w:rPr>
            </w:pPr>
            <w:r w:rsidRPr="005B0CCB" w:rsidDel="009B3EA5">
              <w:rPr>
                <w:rFonts w:ascii="Arial" w:hAnsi="Arial" w:cs="Arial"/>
                <w:sz w:val="20"/>
                <w:szCs w:val="20"/>
              </w:rPr>
              <w:t>Long term A Government support</w:t>
            </w:r>
          </w:p>
        </w:tc>
        <w:tc>
          <w:tcPr>
            <w:tcW w:w="749" w:type="pct"/>
            <w:vAlign w:val="center"/>
          </w:tcPr>
          <w:p w14:paraId="46BFFA50" w14:textId="77777777" w:rsidR="004F1819" w:rsidRPr="00A036BF" w:rsidRDefault="00AA5691" w:rsidP="00D569CD">
            <w:pPr>
              <w:jc w:val="center"/>
              <w:rPr>
                <w:sz w:val="20"/>
                <w:szCs w:val="20"/>
              </w:rPr>
            </w:pPr>
            <w:r w:rsidRPr="00F861B8">
              <w:rPr>
                <w:sz w:val="20"/>
                <w:szCs w:val="20"/>
              </w:rPr>
              <w:t>100</w:t>
            </w:r>
          </w:p>
        </w:tc>
        <w:tc>
          <w:tcPr>
            <w:tcW w:w="749" w:type="pct"/>
            <w:vAlign w:val="center"/>
          </w:tcPr>
          <w:p w14:paraId="4DF2B2B7" w14:textId="77777777" w:rsidR="004F1819" w:rsidRPr="00A036BF" w:rsidRDefault="001902E3">
            <w:pPr>
              <w:jc w:val="center"/>
              <w:rPr>
                <w:sz w:val="20"/>
                <w:szCs w:val="20"/>
              </w:rPr>
            </w:pPr>
            <w:r w:rsidRPr="00F861B8">
              <w:rPr>
                <w:sz w:val="20"/>
                <w:szCs w:val="20"/>
              </w:rPr>
              <w:t>100</w:t>
            </w:r>
          </w:p>
        </w:tc>
        <w:tc>
          <w:tcPr>
            <w:tcW w:w="1048" w:type="pct"/>
            <w:vAlign w:val="center"/>
          </w:tcPr>
          <w:p w14:paraId="72BF06A5" w14:textId="77777777" w:rsidR="004F1819" w:rsidRPr="005B0CCB" w:rsidRDefault="004F1819" w:rsidP="00AA5691">
            <w:pPr>
              <w:rPr>
                <w:sz w:val="20"/>
                <w:szCs w:val="20"/>
              </w:rPr>
            </w:pPr>
            <w:r w:rsidRPr="00F861B8">
              <w:rPr>
                <w:sz w:val="20"/>
                <w:szCs w:val="20"/>
              </w:rPr>
              <w:t>Overnight</w:t>
            </w:r>
            <w:r w:rsidR="00A43424" w:rsidRPr="00F861B8">
              <w:rPr>
                <w:sz w:val="20"/>
                <w:szCs w:val="20"/>
              </w:rPr>
              <w:t xml:space="preserve"> i</w:t>
            </w:r>
            <w:r w:rsidRPr="005F770C" w:rsidDel="009B3EA5">
              <w:rPr>
                <w:sz w:val="20"/>
                <w:szCs w:val="20"/>
              </w:rPr>
              <w:t>n line with clearing system guarantee (currently 4 years.)</w:t>
            </w:r>
          </w:p>
        </w:tc>
      </w:tr>
    </w:tbl>
    <w:p w14:paraId="0F7E7733" w14:textId="77777777" w:rsidR="00186F66" w:rsidRDefault="00186F66" w:rsidP="00186F66">
      <w:pPr>
        <w:jc w:val="both"/>
      </w:pPr>
    </w:p>
    <w:p w14:paraId="021359A1" w14:textId="488D54B0" w:rsidR="00B43138" w:rsidRDefault="00B43138" w:rsidP="00186F66">
      <w:pPr>
        <w:jc w:val="both"/>
      </w:pPr>
      <w:r>
        <w:t>In addition the County Council can invest with other local authorities. Following the downgrade of the UK, several local authorities saw a reduction in their ratings. Therefore, consideration has been given to reducing the risk associated with the County Council's investment with other local authorities. Arlingclose, the County Council's Treasury Management advisor, state they</w:t>
      </w:r>
      <w:r w:rsidRPr="00F62FDD">
        <w:t xml:space="preserve"> </w:t>
      </w:r>
      <w:r>
        <w:t>are "</w:t>
      </w:r>
      <w:r w:rsidRPr="00F62FDD">
        <w:t>comfortable with clients making loans to UK local authorities for periods up to four years, subject to this meeting their approved strategy. For periods longer than four years we recommend that additional due diligence is undertaken prior to a loan being made</w:t>
      </w:r>
      <w:r>
        <w:t>"</w:t>
      </w:r>
      <w:r w:rsidR="00186F66">
        <w:t>.</w:t>
      </w:r>
      <w:r>
        <w:t xml:space="preserve">  On this basis it is proposed that the investments to local authorities are limited as follows:</w:t>
      </w:r>
    </w:p>
    <w:p w14:paraId="3B62339B" w14:textId="112DC233" w:rsidR="00B43138" w:rsidRDefault="00820C99" w:rsidP="00B43138">
      <w:r>
        <w:t>Table 4 Local Authority Investments</w:t>
      </w:r>
    </w:p>
    <w:p w14:paraId="41628B0A" w14:textId="77777777" w:rsidR="00B43138" w:rsidRDefault="00B43138" w:rsidP="00B43138">
      <w:r>
        <w:t xml:space="preserve">                                         </w:t>
      </w:r>
    </w:p>
    <w:tbl>
      <w:tblPr>
        <w:tblStyle w:val="TableGrid"/>
        <w:tblW w:w="0" w:type="auto"/>
        <w:tblLook w:val="04A0" w:firstRow="1" w:lastRow="0" w:firstColumn="1" w:lastColumn="0" w:noHBand="0" w:noVBand="1"/>
      </w:tblPr>
      <w:tblGrid>
        <w:gridCol w:w="2253"/>
        <w:gridCol w:w="2254"/>
        <w:gridCol w:w="2254"/>
        <w:gridCol w:w="2255"/>
      </w:tblGrid>
      <w:tr w:rsidR="00B43138" w14:paraId="7CAFFE78" w14:textId="77777777" w:rsidTr="00520F95">
        <w:tc>
          <w:tcPr>
            <w:tcW w:w="2254" w:type="dxa"/>
          </w:tcPr>
          <w:p w14:paraId="7C7CE548" w14:textId="77777777" w:rsidR="00B43138" w:rsidRDefault="00B43138" w:rsidP="00520F95"/>
        </w:tc>
        <w:tc>
          <w:tcPr>
            <w:tcW w:w="2254" w:type="dxa"/>
          </w:tcPr>
          <w:p w14:paraId="5E74F583" w14:textId="77777777" w:rsidR="00B43138" w:rsidRDefault="00B43138" w:rsidP="00520F95">
            <w:r>
              <w:t>Maximum individual investment (£m)</w:t>
            </w:r>
          </w:p>
        </w:tc>
        <w:tc>
          <w:tcPr>
            <w:tcW w:w="2254" w:type="dxa"/>
          </w:tcPr>
          <w:p w14:paraId="47FB9442" w14:textId="77777777" w:rsidR="00B43138" w:rsidRDefault="00B43138" w:rsidP="00520F95">
            <w:r>
              <w:t>Maximum total investment (£m)</w:t>
            </w:r>
          </w:p>
        </w:tc>
        <w:tc>
          <w:tcPr>
            <w:tcW w:w="2255" w:type="dxa"/>
          </w:tcPr>
          <w:p w14:paraId="19737083" w14:textId="77777777" w:rsidR="00B43138" w:rsidRDefault="00B43138" w:rsidP="00520F95">
            <w:r>
              <w:t>Maximum period</w:t>
            </w:r>
          </w:p>
        </w:tc>
      </w:tr>
      <w:tr w:rsidR="00B43138" w14:paraId="7608C261" w14:textId="77777777" w:rsidTr="00520F95">
        <w:tc>
          <w:tcPr>
            <w:tcW w:w="2254" w:type="dxa"/>
          </w:tcPr>
          <w:p w14:paraId="06C23A3B" w14:textId="77777777" w:rsidR="00B43138" w:rsidRDefault="00B43138" w:rsidP="00520F95">
            <w:r>
              <w:t>Up to 4 years</w:t>
            </w:r>
          </w:p>
        </w:tc>
        <w:tc>
          <w:tcPr>
            <w:tcW w:w="2254" w:type="dxa"/>
          </w:tcPr>
          <w:p w14:paraId="6440ADFE" w14:textId="77777777" w:rsidR="00B43138" w:rsidRDefault="00B43138" w:rsidP="00520F95">
            <w:r>
              <w:t>20</w:t>
            </w:r>
          </w:p>
        </w:tc>
        <w:tc>
          <w:tcPr>
            <w:tcW w:w="2254" w:type="dxa"/>
          </w:tcPr>
          <w:p w14:paraId="205FCAD5" w14:textId="77777777" w:rsidR="00B43138" w:rsidRDefault="00B43138" w:rsidP="00520F95">
            <w:r>
              <w:t>250</w:t>
            </w:r>
          </w:p>
        </w:tc>
        <w:tc>
          <w:tcPr>
            <w:tcW w:w="2255" w:type="dxa"/>
          </w:tcPr>
          <w:p w14:paraId="15F513E4" w14:textId="77777777" w:rsidR="00B43138" w:rsidRDefault="00B43138" w:rsidP="00520F95">
            <w:r>
              <w:t xml:space="preserve">  4 years</w:t>
            </w:r>
          </w:p>
        </w:tc>
      </w:tr>
      <w:tr w:rsidR="00B43138" w14:paraId="7921C4CE" w14:textId="77777777" w:rsidTr="00520F95">
        <w:tc>
          <w:tcPr>
            <w:tcW w:w="2254" w:type="dxa"/>
          </w:tcPr>
          <w:p w14:paraId="4915F80D" w14:textId="77777777" w:rsidR="00B43138" w:rsidRDefault="00B43138" w:rsidP="00520F95">
            <w:r>
              <w:t>Over 4 years</w:t>
            </w:r>
          </w:p>
        </w:tc>
        <w:tc>
          <w:tcPr>
            <w:tcW w:w="2254" w:type="dxa"/>
          </w:tcPr>
          <w:p w14:paraId="6AD9EB74" w14:textId="77777777" w:rsidR="00B43138" w:rsidRDefault="00B43138" w:rsidP="00520F95">
            <w:r>
              <w:t>20</w:t>
            </w:r>
          </w:p>
        </w:tc>
        <w:tc>
          <w:tcPr>
            <w:tcW w:w="2254" w:type="dxa"/>
          </w:tcPr>
          <w:p w14:paraId="452AAE16" w14:textId="77777777" w:rsidR="00B43138" w:rsidRDefault="00B43138" w:rsidP="00520F95">
            <w:r>
              <w:t>100</w:t>
            </w:r>
          </w:p>
        </w:tc>
        <w:tc>
          <w:tcPr>
            <w:tcW w:w="2255" w:type="dxa"/>
          </w:tcPr>
          <w:p w14:paraId="11656008" w14:textId="77777777" w:rsidR="00B43138" w:rsidRDefault="00B43138" w:rsidP="00520F95">
            <w:r>
              <w:t>10 years</w:t>
            </w:r>
          </w:p>
        </w:tc>
      </w:tr>
    </w:tbl>
    <w:p w14:paraId="70F6CCE9" w14:textId="77777777" w:rsidR="00186F66" w:rsidRDefault="00186F66" w:rsidP="00186F66">
      <w:pPr>
        <w:jc w:val="both"/>
      </w:pPr>
    </w:p>
    <w:p w14:paraId="4226FA31" w14:textId="0504A207" w:rsidR="00BF289B" w:rsidRDefault="009B4C00" w:rsidP="00186F66">
      <w:pPr>
        <w:jc w:val="both"/>
      </w:pPr>
      <w:r>
        <w:t>The County Council's day to day transactional bank National Westminster lies outside the investment credit matrix but e</w:t>
      </w:r>
      <w:r w:rsidR="00D569CD">
        <w:t>mergency</w:t>
      </w:r>
      <w:r w:rsidR="00C06EC5" w:rsidRPr="00A036BF">
        <w:t xml:space="preserve"> overnight deposits </w:t>
      </w:r>
      <w:r w:rsidR="00D569CD">
        <w:t xml:space="preserve">may be placed </w:t>
      </w:r>
      <w:r w:rsidR="00C06EC5" w:rsidRPr="00A036BF">
        <w:t>with the</w:t>
      </w:r>
      <w:r>
        <w:t>m from time to time. I</w:t>
      </w:r>
      <w:r w:rsidR="007079C4" w:rsidRPr="00A036BF">
        <w:t xml:space="preserve">n practice </w:t>
      </w:r>
      <w:r w:rsidR="0004267C">
        <w:t>the balances are considered on a daily basis and kept as near to zero as possible</w:t>
      </w:r>
      <w:r w:rsidR="00B37E43">
        <w:t>. T</w:t>
      </w:r>
      <w:r w:rsidR="0004267C">
        <w:t>he balance on any day is</w:t>
      </w:r>
      <w:r w:rsidR="00A13DDA">
        <w:t xml:space="preserve"> typically </w:t>
      </w:r>
      <w:r>
        <w:t>below</w:t>
      </w:r>
      <w:r w:rsidR="00A13DDA">
        <w:t xml:space="preserve"> £</w:t>
      </w:r>
      <w:r w:rsidR="00AA5691">
        <w:t>1million</w:t>
      </w:r>
      <w:r w:rsidR="00A13DDA">
        <w:t>.</w:t>
      </w:r>
    </w:p>
    <w:p w14:paraId="472009D8" w14:textId="77777777" w:rsidR="00186F66" w:rsidRPr="00A036BF" w:rsidRDefault="00186F66" w:rsidP="00186F66">
      <w:pPr>
        <w:jc w:val="both"/>
        <w:rPr>
          <w:b/>
          <w:bCs/>
        </w:rPr>
      </w:pPr>
    </w:p>
    <w:p w14:paraId="6C58F720" w14:textId="77777777" w:rsidR="00FF008E" w:rsidRPr="00A036BF" w:rsidRDefault="00FA5EFC">
      <w:pPr>
        <w:spacing w:after="200" w:line="276" w:lineRule="auto"/>
        <w:rPr>
          <w:i/>
        </w:rPr>
      </w:pPr>
      <w:r>
        <w:rPr>
          <w:i/>
        </w:rPr>
        <w:t>6.</w:t>
      </w:r>
      <w:r w:rsidR="00AA7A0B">
        <w:rPr>
          <w:i/>
        </w:rPr>
        <w:t>2</w:t>
      </w:r>
      <w:r>
        <w:rPr>
          <w:i/>
        </w:rPr>
        <w:t xml:space="preserve"> </w:t>
      </w:r>
      <w:r w:rsidR="004A19C1" w:rsidRPr="00A036BF">
        <w:rPr>
          <w:i/>
        </w:rPr>
        <w:t>Types of Investment</w:t>
      </w:r>
    </w:p>
    <w:p w14:paraId="2C0D71D9" w14:textId="77777777" w:rsidR="00FF008E" w:rsidRPr="00A036BF" w:rsidRDefault="00FF008E" w:rsidP="00FF008E">
      <w:pPr>
        <w:jc w:val="both"/>
      </w:pPr>
      <w:r w:rsidRPr="00A036BF">
        <w:t>The CLG Guidance defines two types of investment, firstly specified investments which are those:</w:t>
      </w:r>
    </w:p>
    <w:p w14:paraId="1AD568FA" w14:textId="77777777" w:rsidR="00015456" w:rsidRPr="00A036BF" w:rsidRDefault="00015456" w:rsidP="00FF008E">
      <w:pPr>
        <w:jc w:val="both"/>
      </w:pPr>
    </w:p>
    <w:p w14:paraId="0828FBD1" w14:textId="77777777" w:rsidR="00FF008E" w:rsidRPr="00A036BF" w:rsidRDefault="00FF008E" w:rsidP="00574AC0">
      <w:pPr>
        <w:numPr>
          <w:ilvl w:val="0"/>
          <w:numId w:val="2"/>
        </w:numPr>
        <w:jc w:val="both"/>
      </w:pPr>
      <w:r w:rsidRPr="00A036BF">
        <w:t>denominated in pound sterling,</w:t>
      </w:r>
    </w:p>
    <w:p w14:paraId="27512EDC" w14:textId="77777777" w:rsidR="00FF008E" w:rsidRPr="00A036BF" w:rsidRDefault="00FF008E" w:rsidP="00574AC0">
      <w:pPr>
        <w:numPr>
          <w:ilvl w:val="0"/>
          <w:numId w:val="2"/>
        </w:numPr>
        <w:jc w:val="both"/>
      </w:pPr>
      <w:r w:rsidRPr="00A036BF">
        <w:t xml:space="preserve">due to be repaid within 12 months of </w:t>
      </w:r>
      <w:r w:rsidR="00015456" w:rsidRPr="00A036BF">
        <w:t xml:space="preserve">the </w:t>
      </w:r>
      <w:r w:rsidRPr="00A036BF">
        <w:t>arrangement,</w:t>
      </w:r>
    </w:p>
    <w:p w14:paraId="707F6EA8" w14:textId="77777777" w:rsidR="00FF008E" w:rsidRPr="00A036BF" w:rsidRDefault="00FF008E" w:rsidP="00574AC0">
      <w:pPr>
        <w:numPr>
          <w:ilvl w:val="0"/>
          <w:numId w:val="2"/>
        </w:numPr>
        <w:jc w:val="both"/>
      </w:pPr>
      <w:r w:rsidRPr="00A036BF">
        <w:t>not defined as capital expenditure by legislation, and</w:t>
      </w:r>
    </w:p>
    <w:p w14:paraId="63C520D6" w14:textId="77777777" w:rsidR="00FF008E" w:rsidRPr="00A036BF" w:rsidRDefault="00FF008E" w:rsidP="00574AC0">
      <w:pPr>
        <w:numPr>
          <w:ilvl w:val="0"/>
          <w:numId w:val="2"/>
        </w:numPr>
        <w:jc w:val="both"/>
      </w:pPr>
      <w:r w:rsidRPr="00A036BF">
        <w:t>invested with one of:</w:t>
      </w:r>
    </w:p>
    <w:p w14:paraId="1C898AAF" w14:textId="77777777" w:rsidR="00FF008E" w:rsidRPr="00A036BF" w:rsidRDefault="00FF008E" w:rsidP="00574AC0">
      <w:pPr>
        <w:numPr>
          <w:ilvl w:val="1"/>
          <w:numId w:val="2"/>
        </w:numPr>
        <w:jc w:val="both"/>
      </w:pPr>
      <w:r w:rsidRPr="00A036BF">
        <w:t>the UK Government,</w:t>
      </w:r>
    </w:p>
    <w:p w14:paraId="639A265A" w14:textId="77777777" w:rsidR="00FF008E" w:rsidRPr="00A036BF" w:rsidRDefault="00FF008E" w:rsidP="00574AC0">
      <w:pPr>
        <w:numPr>
          <w:ilvl w:val="1"/>
          <w:numId w:val="2"/>
        </w:numPr>
        <w:jc w:val="both"/>
      </w:pPr>
      <w:r w:rsidRPr="00A036BF">
        <w:t>a UK local authority, parish council or community council, or</w:t>
      </w:r>
    </w:p>
    <w:p w14:paraId="2BBE2F2D" w14:textId="77777777" w:rsidR="00FF008E" w:rsidRPr="00A036BF" w:rsidRDefault="00FF008E" w:rsidP="00574AC0">
      <w:pPr>
        <w:numPr>
          <w:ilvl w:val="1"/>
          <w:numId w:val="2"/>
        </w:numPr>
        <w:jc w:val="both"/>
      </w:pPr>
      <w:proofErr w:type="gramStart"/>
      <w:r w:rsidRPr="00A036BF">
        <w:t>a</w:t>
      </w:r>
      <w:proofErr w:type="gramEnd"/>
      <w:r w:rsidRPr="00A036BF">
        <w:t xml:space="preserve"> body or investment scheme of “high credit quality”.</w:t>
      </w:r>
    </w:p>
    <w:p w14:paraId="295E1DEB" w14:textId="77777777" w:rsidR="00FF008E" w:rsidRPr="00A036BF" w:rsidRDefault="00FF008E" w:rsidP="00FF008E">
      <w:pPr>
        <w:jc w:val="both"/>
      </w:pPr>
      <w:r w:rsidRPr="00A036BF">
        <w:t xml:space="preserve">Any investment not meeting the definition of a specified investment is classed as non-specified.  </w:t>
      </w:r>
      <w:r w:rsidR="00034F77" w:rsidRPr="00A036BF">
        <w:t>T</w:t>
      </w:r>
      <w:r w:rsidRPr="00A036BF">
        <w:t xml:space="preserve">he </w:t>
      </w:r>
      <w:r w:rsidR="00CA7572">
        <w:t>C</w:t>
      </w:r>
      <w:r w:rsidR="00F25AD0">
        <w:t xml:space="preserve">ounty </w:t>
      </w:r>
      <w:r w:rsidR="00CA7572">
        <w:t>C</w:t>
      </w:r>
      <w:r w:rsidR="00F25AD0">
        <w:t>ouncil</w:t>
      </w:r>
      <w:r w:rsidR="00C14F92" w:rsidRPr="00A036BF">
        <w:t xml:space="preserve"> will </w:t>
      </w:r>
      <w:r w:rsidRPr="00A036BF">
        <w:t xml:space="preserve">not make any investments with low credit quality bodies, nor any that are defined as capital expenditure by legislation, such as company shares.  </w:t>
      </w:r>
    </w:p>
    <w:p w14:paraId="1AAE7712" w14:textId="77777777" w:rsidR="00FF008E" w:rsidRPr="001143BB" w:rsidRDefault="00FF008E" w:rsidP="00FF008E">
      <w:pPr>
        <w:jc w:val="both"/>
        <w:rPr>
          <w:highlight w:val="yellow"/>
        </w:rPr>
      </w:pPr>
    </w:p>
    <w:p w14:paraId="321AB7F2" w14:textId="31EB774E" w:rsidR="00A31C01" w:rsidRDefault="00FF008E" w:rsidP="00574AC0">
      <w:pPr>
        <w:jc w:val="both"/>
      </w:pPr>
      <w:r w:rsidRPr="005F770C">
        <w:t>The</w:t>
      </w:r>
      <w:r w:rsidR="00F25AD0" w:rsidRPr="00F861B8">
        <w:t xml:space="preserve"> operational</w:t>
      </w:r>
      <w:r w:rsidRPr="005F770C">
        <w:t xml:space="preserve"> total limit on long-term</w:t>
      </w:r>
      <w:r w:rsidR="00AD15ED" w:rsidRPr="005F770C">
        <w:t xml:space="preserve"> </w:t>
      </w:r>
      <w:r w:rsidRPr="005B0CCB">
        <w:t xml:space="preserve">investments </w:t>
      </w:r>
      <w:r w:rsidR="00AA7A0B">
        <w:t>was</w:t>
      </w:r>
      <w:r w:rsidRPr="005B0CCB">
        <w:t xml:space="preserve"> </w:t>
      </w:r>
      <w:r w:rsidR="00392C2F" w:rsidRPr="001902E3">
        <w:t>£</w:t>
      </w:r>
      <w:r w:rsidR="00F1617C" w:rsidRPr="001902E3">
        <w:rPr>
          <w:lang w:eastAsia="en-US"/>
        </w:rPr>
        <w:t>600</w:t>
      </w:r>
      <w:r w:rsidRPr="001902E3">
        <w:t xml:space="preserve"> million</w:t>
      </w:r>
      <w:r w:rsidR="00AA7A0B">
        <w:t xml:space="preserve"> in 2016/17 but with the anticipated reduction in reserves this is to be reduced to £450m in 2017/18</w:t>
      </w:r>
      <w:r w:rsidRPr="005F770C">
        <w:t xml:space="preserve">. </w:t>
      </w:r>
      <w:r w:rsidR="00AA7A0B">
        <w:t xml:space="preserve">Investment levels can be made above this with the agreement of the </w:t>
      </w:r>
      <w:r w:rsidR="00606948">
        <w:t xml:space="preserve">section 151 </w:t>
      </w:r>
      <w:r w:rsidR="00AA7A0B">
        <w:t>Officer.</w:t>
      </w:r>
      <w:r w:rsidR="009940B4">
        <w:t xml:space="preserve"> </w:t>
      </w:r>
      <w:r w:rsidR="00C14F92" w:rsidRPr="005F770C">
        <w:t>T</w:t>
      </w:r>
      <w:r w:rsidRPr="005B0CCB">
        <w:t>his</w:t>
      </w:r>
      <w:r w:rsidR="009940B4">
        <w:t xml:space="preserve"> revised limit</w:t>
      </w:r>
      <w:r w:rsidR="00AD15ED" w:rsidRPr="005B0CCB">
        <w:t xml:space="preserve"> reflects the portfolio structure adopted by the </w:t>
      </w:r>
      <w:r w:rsidR="00CA7572">
        <w:t>C</w:t>
      </w:r>
      <w:r w:rsidR="00F25AD0" w:rsidRPr="00F861B8">
        <w:t xml:space="preserve">ounty </w:t>
      </w:r>
      <w:r w:rsidR="00CA7572">
        <w:t>C</w:t>
      </w:r>
      <w:r w:rsidR="00F25AD0" w:rsidRPr="00F861B8">
        <w:t>ouncil</w:t>
      </w:r>
      <w:r w:rsidR="00AD15ED" w:rsidRPr="005F770C">
        <w:t xml:space="preserve"> in order to reduce credit risk</w:t>
      </w:r>
      <w:r w:rsidR="00A31C01">
        <w:t xml:space="preserve"> and ensure liquidity</w:t>
      </w:r>
      <w:r w:rsidR="00AD53EF">
        <w:t>.</w:t>
      </w:r>
    </w:p>
    <w:p w14:paraId="460F808D" w14:textId="77777777" w:rsidR="00A31C01" w:rsidRDefault="00A31C01" w:rsidP="00574AC0">
      <w:pPr>
        <w:jc w:val="both"/>
      </w:pPr>
    </w:p>
    <w:p w14:paraId="5BC37F8E" w14:textId="33267F68" w:rsidR="00025990" w:rsidRPr="00F1617C" w:rsidRDefault="00AD53EF" w:rsidP="00574AC0">
      <w:pPr>
        <w:jc w:val="both"/>
      </w:pPr>
      <w:r>
        <w:t xml:space="preserve">Core investments are </w:t>
      </w:r>
      <w:r w:rsidR="00AD15ED" w:rsidRPr="005F770C">
        <w:t>h</w:t>
      </w:r>
      <w:r>
        <w:t>eld in g</w:t>
      </w:r>
      <w:r w:rsidR="00FF008E" w:rsidRPr="005B0CCB">
        <w:t xml:space="preserve">overnment and supranational </w:t>
      </w:r>
      <w:r w:rsidR="00AD15ED" w:rsidRPr="005B0CCB">
        <w:t>securities,</w:t>
      </w:r>
      <w:r w:rsidR="00FA73F3" w:rsidRPr="005B0CCB">
        <w:t xml:space="preserve"> </w:t>
      </w:r>
      <w:r w:rsidR="00FF008E" w:rsidRPr="005B0CCB">
        <w:t xml:space="preserve">which </w:t>
      </w:r>
      <w:r w:rsidR="00AD15ED" w:rsidRPr="005B0CCB">
        <w:t>although</w:t>
      </w:r>
      <w:r w:rsidR="00FF008E" w:rsidRPr="005B0CCB">
        <w:t xml:space="preserve"> highly liquid</w:t>
      </w:r>
      <w:r w:rsidR="00AD15ED" w:rsidRPr="005B0CCB">
        <w:t xml:space="preserve"> have m</w:t>
      </w:r>
      <w:r w:rsidR="00FF008E" w:rsidRPr="005B0CCB">
        <w:t>aturities</w:t>
      </w:r>
      <w:r w:rsidR="00AD15ED" w:rsidRPr="005B0CCB">
        <w:t xml:space="preserve"> in excess of 364 days.</w:t>
      </w:r>
      <w:r w:rsidR="00FA73F3" w:rsidRPr="005B0CCB">
        <w:t xml:space="preserve"> </w:t>
      </w:r>
      <w:r w:rsidR="009269B3">
        <w:t>In addition the County Council holds a secondary liquidity investment book of very high quality covered floating rate notes (FRNs) which are typically issued for a 3 to 5</w:t>
      </w:r>
      <w:r w:rsidR="00A31C01">
        <w:t xml:space="preserve"> year term</w:t>
      </w:r>
      <w:r w:rsidR="009269B3">
        <w:t>. Because these instruments have their rates re-fixed</w:t>
      </w:r>
      <w:r w:rsidR="00A31C01">
        <w:t>,</w:t>
      </w:r>
      <w:r w:rsidR="009269B3">
        <w:t xml:space="preserve"> at current market rates every 3 months</w:t>
      </w:r>
      <w:r w:rsidR="00A31C01">
        <w:t>,</w:t>
      </w:r>
      <w:r w:rsidR="009269B3">
        <w:t xml:space="preserve"> their price shows a very low sensitivity to changes in market rates, so that although under the current accounting regulations they are classified as long term instruments, i</w:t>
      </w:r>
      <w:r w:rsidR="00FA73F3" w:rsidRPr="005B0CCB">
        <w:t xml:space="preserve">n practice </w:t>
      </w:r>
      <w:r w:rsidR="009269B3">
        <w:t xml:space="preserve">they operate as fixed instruments with a maximum of 3 months to maturity and can be liquidated </w:t>
      </w:r>
      <w:r w:rsidR="00CA7572">
        <w:t>with</w:t>
      </w:r>
      <w:r w:rsidR="00FA73F3" w:rsidRPr="005B0CCB">
        <w:t xml:space="preserve"> </w:t>
      </w:r>
      <w:r w:rsidR="00CA7572">
        <w:t>one or two</w:t>
      </w:r>
      <w:r w:rsidR="00FA73F3" w:rsidRPr="005B0CCB">
        <w:t xml:space="preserve"> </w:t>
      </w:r>
      <w:r w:rsidR="009940B4" w:rsidRPr="005B0CCB">
        <w:t>day</w:t>
      </w:r>
      <w:r w:rsidR="009940B4">
        <w:t>s'</w:t>
      </w:r>
      <w:r w:rsidR="009940B4" w:rsidRPr="005B0CCB">
        <w:t xml:space="preserve"> notice</w:t>
      </w:r>
      <w:r w:rsidR="00A31C01">
        <w:t>. Therefore the 'long term investments' total contains instruments which operate with a short term horizon and which</w:t>
      </w:r>
      <w:r w:rsidR="00A31C01" w:rsidRPr="005B0CCB">
        <w:t xml:space="preserve"> </w:t>
      </w:r>
      <w:r w:rsidR="00FA73F3" w:rsidRPr="005B0CCB">
        <w:t>are central to achieving the</w:t>
      </w:r>
      <w:r w:rsidR="00C14F92" w:rsidRPr="005B0CCB">
        <w:t xml:space="preserve"> </w:t>
      </w:r>
      <w:r w:rsidR="00CA7572">
        <w:t>C</w:t>
      </w:r>
      <w:r w:rsidR="00F25AD0" w:rsidRPr="00F861B8">
        <w:t xml:space="preserve">ounty </w:t>
      </w:r>
      <w:r w:rsidR="00CA7572">
        <w:t>C</w:t>
      </w:r>
      <w:r w:rsidR="00F25AD0" w:rsidRPr="00F861B8">
        <w:t>ouncil</w:t>
      </w:r>
      <w:r w:rsidR="00FA73F3" w:rsidRPr="005F770C">
        <w:t xml:space="preserve">'s </w:t>
      </w:r>
      <w:r w:rsidR="00A31C01">
        <w:t xml:space="preserve">security and </w:t>
      </w:r>
      <w:r w:rsidR="00FA73F3" w:rsidRPr="005F770C">
        <w:t>liquidity objective</w:t>
      </w:r>
      <w:r w:rsidR="00A31C01">
        <w:t>s</w:t>
      </w:r>
      <w:r w:rsidR="00FA73F3" w:rsidRPr="005F770C">
        <w:t>.</w:t>
      </w:r>
    </w:p>
    <w:p w14:paraId="76015EB9" w14:textId="77777777" w:rsidR="00F95A4B" w:rsidRPr="001143BB" w:rsidRDefault="00F95A4B" w:rsidP="00574AC0">
      <w:pPr>
        <w:jc w:val="both"/>
        <w:rPr>
          <w:highlight w:val="yellow"/>
        </w:rPr>
      </w:pPr>
    </w:p>
    <w:p w14:paraId="4D35EF27" w14:textId="64EDF24A" w:rsidR="00233C79" w:rsidRDefault="00C14F92" w:rsidP="00D635B5">
      <w:pPr>
        <w:jc w:val="both"/>
      </w:pPr>
      <w:r w:rsidRPr="00A036BF">
        <w:t xml:space="preserve">In recent times, a wider range of investment instruments within the area of sterling deposits has been developed by financial institutions. All of these afford similar security of capital to basic sterling deposits but they also offer the possibility, although never of course the certainty, of increased returns. The </w:t>
      </w:r>
      <w:r w:rsidR="00606948">
        <w:t>s</w:t>
      </w:r>
      <w:r w:rsidR="0004267C">
        <w:t xml:space="preserve">ection </w:t>
      </w:r>
      <w:r w:rsidR="00CF5E98">
        <w:t>151 officer</w:t>
      </w:r>
      <w:r w:rsidRPr="00A036BF">
        <w:t xml:space="preserve"> will, in liaison with the </w:t>
      </w:r>
      <w:r w:rsidR="003C3BD1">
        <w:t>C</w:t>
      </w:r>
      <w:r w:rsidR="00F25AD0">
        <w:t xml:space="preserve">ounty </w:t>
      </w:r>
      <w:r w:rsidR="003C3BD1">
        <w:t>C</w:t>
      </w:r>
      <w:r w:rsidR="00F25AD0">
        <w:t>ouncil</w:t>
      </w:r>
      <w:r w:rsidRPr="00A036BF">
        <w:t xml:space="preserve">’s external advisers, consider the benefits and drawbacks of these instruments and whether any of them are appropriate for the </w:t>
      </w:r>
      <w:r w:rsidR="00F25AD0">
        <w:t xml:space="preserve">County </w:t>
      </w:r>
      <w:r w:rsidR="00EE668D">
        <w:t>C</w:t>
      </w:r>
      <w:r w:rsidR="00F25AD0">
        <w:t>ouncil</w:t>
      </w:r>
      <w:r w:rsidRPr="00A036BF">
        <w:t>. Because of their relative complexity compared to straightforward term deposits, most of them would fall within the definition of non-specified investments. Decisions on whether to utilise such instruments will be taken after an assessment of whether their use achieves the Council's objectives in terms of reduction in overall risk exposure as part of a balanced portfolio.</w:t>
      </w:r>
    </w:p>
    <w:p w14:paraId="292490C6" w14:textId="77777777" w:rsidR="00D635B5" w:rsidRPr="00D635B5" w:rsidRDefault="00D635B5" w:rsidP="00D635B5">
      <w:pPr>
        <w:jc w:val="both"/>
      </w:pPr>
    </w:p>
    <w:p w14:paraId="7AD2BB17" w14:textId="77777777" w:rsidR="006E328C" w:rsidRPr="00351C7D" w:rsidRDefault="006E328C" w:rsidP="00F861B8">
      <w:pPr>
        <w:pStyle w:val="ListParagraph"/>
        <w:numPr>
          <w:ilvl w:val="0"/>
          <w:numId w:val="36"/>
        </w:numPr>
        <w:spacing w:after="240"/>
        <w:rPr>
          <w:b/>
          <w:bCs/>
          <w:sz w:val="28"/>
          <w:szCs w:val="28"/>
        </w:rPr>
      </w:pPr>
      <w:r w:rsidRPr="00351C7D">
        <w:rPr>
          <w:b/>
          <w:bCs/>
          <w:sz w:val="28"/>
          <w:szCs w:val="28"/>
        </w:rPr>
        <w:t>Policy on</w:t>
      </w:r>
      <w:r w:rsidR="00DC7850">
        <w:rPr>
          <w:b/>
          <w:bCs/>
          <w:sz w:val="28"/>
          <w:szCs w:val="28"/>
        </w:rPr>
        <w:t xml:space="preserve"> the</w:t>
      </w:r>
      <w:r w:rsidRPr="00351C7D">
        <w:rPr>
          <w:b/>
          <w:bCs/>
          <w:sz w:val="28"/>
          <w:szCs w:val="28"/>
        </w:rPr>
        <w:t xml:space="preserve"> Use of Financial Derivatives</w:t>
      </w:r>
    </w:p>
    <w:p w14:paraId="01606648" w14:textId="77777777" w:rsidR="00233C79" w:rsidRPr="002A48EA" w:rsidRDefault="0040630B" w:rsidP="00025990">
      <w:pPr>
        <w:jc w:val="both"/>
      </w:pPr>
      <w:r w:rsidRPr="002A48EA">
        <w:t xml:space="preserve">The </w:t>
      </w:r>
      <w:r w:rsidR="00CA7572">
        <w:t>C</w:t>
      </w:r>
      <w:r w:rsidR="00F25AD0">
        <w:t xml:space="preserve">ounty </w:t>
      </w:r>
      <w:r w:rsidR="00CA7572">
        <w:t>C</w:t>
      </w:r>
      <w:r w:rsidR="00F25AD0">
        <w:t>ouncil</w:t>
      </w:r>
      <w:r w:rsidRPr="002A48EA">
        <w:t xml:space="preserve"> will only use financial derivatives (such as swaps, forwards, futures and options)</w:t>
      </w:r>
      <w:r w:rsidR="00AF1F7A" w:rsidRPr="002A48EA">
        <w:t xml:space="preserve"> on a standalone basis,</w:t>
      </w:r>
      <w:r w:rsidRPr="002A48EA">
        <w:t xml:space="preserve"> where </w:t>
      </w:r>
      <w:r w:rsidR="00AF1F7A" w:rsidRPr="002A48EA">
        <w:t xml:space="preserve">it </w:t>
      </w:r>
      <w:r w:rsidRPr="002A48EA">
        <w:t>can be clearly demonstrated</w:t>
      </w:r>
      <w:r w:rsidR="00755F06" w:rsidRPr="002A48EA">
        <w:t xml:space="preserve"> that as part of the prudent management of the </w:t>
      </w:r>
      <w:r w:rsidR="00CA7572">
        <w:t>Co</w:t>
      </w:r>
      <w:r w:rsidR="00755F06" w:rsidRPr="002A48EA">
        <w:t>uncil's financial affairs the</w:t>
      </w:r>
      <w:r w:rsidR="00AF1F7A" w:rsidRPr="002A48EA">
        <w:t xml:space="preserve"> use of financial derivatives will</w:t>
      </w:r>
      <w:r w:rsidR="00755F06" w:rsidRPr="002A48EA">
        <w:t xml:space="preserve"> have</w:t>
      </w:r>
      <w:r w:rsidRPr="002A48EA">
        <w:t xml:space="preserve"> the</w:t>
      </w:r>
      <w:r w:rsidR="00755F06" w:rsidRPr="002A48EA">
        <w:t xml:space="preserve"> effect of reducing the </w:t>
      </w:r>
      <w:r w:rsidRPr="002A48EA">
        <w:t xml:space="preserve">level of financial risks that the </w:t>
      </w:r>
      <w:r w:rsidR="00CA7572">
        <w:t>C</w:t>
      </w:r>
      <w:r w:rsidR="00043461">
        <w:t xml:space="preserve">ounty </w:t>
      </w:r>
      <w:r w:rsidR="00CA7572">
        <w:t>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p>
    <w:p w14:paraId="4A928801" w14:textId="77777777" w:rsidR="00AA245E" w:rsidRDefault="00AA245E" w:rsidP="00025990">
      <w:pPr>
        <w:jc w:val="both"/>
      </w:pPr>
    </w:p>
    <w:p w14:paraId="72787769" w14:textId="77777777" w:rsidR="00735953" w:rsidRDefault="00735953" w:rsidP="00735953">
      <w:pPr>
        <w:pStyle w:val="ListParagraph"/>
        <w:ind w:left="0"/>
        <w:jc w:val="both"/>
      </w:pPr>
      <w:r>
        <w:t xml:space="preserve">Many embedded derivatives are already used by local authorities across England and Wales including Lancashire County Council, although unlike the government, commercial sector and other public service areas stand-alone derivatives have not </w:t>
      </w:r>
      <w:r w:rsidR="00FB70CD">
        <w:t xml:space="preserve">generally </w:t>
      </w:r>
      <w:r>
        <w:t>been used.</w:t>
      </w:r>
    </w:p>
    <w:p w14:paraId="1289EA50" w14:textId="77777777" w:rsidR="00233C79" w:rsidRDefault="00233C79" w:rsidP="00735953">
      <w:pPr>
        <w:pStyle w:val="ListParagraph"/>
        <w:ind w:left="0"/>
        <w:jc w:val="both"/>
      </w:pPr>
    </w:p>
    <w:p w14:paraId="4FEEB995" w14:textId="77777777" w:rsidR="00AA245E" w:rsidRDefault="00AA245E" w:rsidP="00AA245E">
      <w:pPr>
        <w:jc w:val="both"/>
      </w:pPr>
      <w:r>
        <w:t>A derivative is a financial instrument with three main features:</w:t>
      </w:r>
    </w:p>
    <w:p w14:paraId="14525DA7" w14:textId="77777777" w:rsidR="00AA245E" w:rsidRDefault="00AA245E" w:rsidP="00AA245E">
      <w:pPr>
        <w:jc w:val="both"/>
      </w:pPr>
    </w:p>
    <w:p w14:paraId="36DF7EF3" w14:textId="77777777" w:rsidR="00AA245E" w:rsidRDefault="00AA245E" w:rsidP="00AA245E">
      <w:pPr>
        <w:pStyle w:val="ListParagraph"/>
        <w:numPr>
          <w:ilvl w:val="0"/>
          <w:numId w:val="41"/>
        </w:numPr>
        <w:jc w:val="both"/>
      </w:pPr>
      <w:r>
        <w:t xml:space="preserve">The value changes in response to an underlying variable. </w:t>
      </w:r>
    </w:p>
    <w:p w14:paraId="3715FB5B" w14:textId="77777777" w:rsidR="00AA245E" w:rsidRDefault="00AA245E" w:rsidP="00AA245E">
      <w:pPr>
        <w:pStyle w:val="ListParagraph"/>
        <w:numPr>
          <w:ilvl w:val="0"/>
          <w:numId w:val="41"/>
        </w:numPr>
        <w:jc w:val="both"/>
      </w:pPr>
      <w:r>
        <w:t>The transaction requires no initial investment, or an initial net investment smaller than would be required for other types of contract with a similar expected response to market changes.</w:t>
      </w:r>
    </w:p>
    <w:p w14:paraId="6158AC0C" w14:textId="77777777" w:rsidR="00AA245E" w:rsidRDefault="00AA245E" w:rsidP="00AA245E">
      <w:pPr>
        <w:pStyle w:val="ListParagraph"/>
        <w:numPr>
          <w:ilvl w:val="0"/>
          <w:numId w:val="41"/>
        </w:numPr>
        <w:jc w:val="both"/>
      </w:pPr>
      <w:r>
        <w:t xml:space="preserve">The contract is settled at a </w:t>
      </w:r>
      <w:r w:rsidR="00FB70CD">
        <w:t xml:space="preserve">predetermined </w:t>
      </w:r>
      <w:r>
        <w:t>future date.</w:t>
      </w:r>
    </w:p>
    <w:p w14:paraId="21CD27F8" w14:textId="77777777" w:rsidR="00AA245E" w:rsidRDefault="00AA245E" w:rsidP="00AA245E">
      <w:pPr>
        <w:pStyle w:val="ListParagraph"/>
        <w:ind w:left="1500"/>
        <w:jc w:val="both"/>
      </w:pPr>
    </w:p>
    <w:p w14:paraId="005EE781" w14:textId="1774FDDE" w:rsidR="00471A5B" w:rsidRDefault="00AA245E" w:rsidP="00AA245E">
      <w:pPr>
        <w:pStyle w:val="ListParagraph"/>
        <w:ind w:left="0"/>
        <w:jc w:val="both"/>
      </w:pPr>
      <w:r>
        <w:t xml:space="preserve">The underlying variable represents an existing external risk for which the hedge is required. Examples are a specified interest rate, a commodity price, a credit rating, a foreign exchange rate or any other variable, however as the County Council treasury activity is not directly exposed to all of these risks, for example foreign exchange or commodity prices, the County Council’s use of derivatives </w:t>
      </w:r>
      <w:r w:rsidR="00DC7850">
        <w:t>would</w:t>
      </w:r>
      <w:r w:rsidR="00DC7850" w:rsidRPr="00AA245E">
        <w:t xml:space="preserve"> </w:t>
      </w:r>
      <w:r w:rsidRPr="00AA245E">
        <w:t xml:space="preserve">be restricted to the management and hedging of interest and inflation rate risk only. </w:t>
      </w:r>
    </w:p>
    <w:p w14:paraId="67D086BF" w14:textId="77777777" w:rsidR="00471A5B" w:rsidRDefault="00471A5B" w:rsidP="00AA245E">
      <w:pPr>
        <w:pStyle w:val="ListParagraph"/>
        <w:ind w:left="0"/>
        <w:jc w:val="both"/>
      </w:pPr>
    </w:p>
    <w:p w14:paraId="45CE4067" w14:textId="77777777" w:rsidR="00AA245E" w:rsidRDefault="00AA245E" w:rsidP="00AA245E">
      <w:pPr>
        <w:pStyle w:val="ListParagraph"/>
        <w:ind w:left="0"/>
        <w:jc w:val="both"/>
      </w:pPr>
      <w:r>
        <w:t xml:space="preserve">The embedded and standalone derivatives which </w:t>
      </w:r>
      <w:r w:rsidR="00735953">
        <w:t>can</w:t>
      </w:r>
      <w:r>
        <w:t xml:space="preserve"> be used by the County Council to manage interest rate risk are summarised below:</w:t>
      </w:r>
    </w:p>
    <w:p w14:paraId="237FD6E0" w14:textId="77777777" w:rsidR="00820C99" w:rsidRDefault="00820C99" w:rsidP="00AA245E">
      <w:pPr>
        <w:pStyle w:val="ListParagraph"/>
        <w:ind w:left="0"/>
        <w:jc w:val="both"/>
      </w:pPr>
    </w:p>
    <w:p w14:paraId="7A6319A0" w14:textId="10A9973E" w:rsidR="00820C99" w:rsidRDefault="00820C99" w:rsidP="00AA245E">
      <w:pPr>
        <w:pStyle w:val="ListParagraph"/>
        <w:ind w:left="0"/>
        <w:jc w:val="both"/>
      </w:pPr>
      <w:r>
        <w:t>Table 5: Derivative Options</w:t>
      </w:r>
    </w:p>
    <w:p w14:paraId="1489824B" w14:textId="77777777" w:rsidR="00AA245E" w:rsidRDefault="00AA245E" w:rsidP="00AA245E">
      <w:pPr>
        <w:pStyle w:val="ListParagraph"/>
        <w:ind w:left="0"/>
        <w:jc w:val="both"/>
      </w:pPr>
    </w:p>
    <w:tbl>
      <w:tblPr>
        <w:tblStyle w:val="TableGrid"/>
        <w:tblW w:w="9053" w:type="dxa"/>
        <w:tblLook w:val="04A0" w:firstRow="1" w:lastRow="0" w:firstColumn="1" w:lastColumn="0" w:noHBand="0" w:noVBand="1"/>
      </w:tblPr>
      <w:tblGrid>
        <w:gridCol w:w="1413"/>
        <w:gridCol w:w="2977"/>
        <w:gridCol w:w="2409"/>
        <w:gridCol w:w="2254"/>
      </w:tblGrid>
      <w:tr w:rsidR="00AA245E" w14:paraId="213230CF" w14:textId="77777777" w:rsidTr="00750FB1">
        <w:tc>
          <w:tcPr>
            <w:tcW w:w="1413" w:type="dxa"/>
          </w:tcPr>
          <w:p w14:paraId="7A5826AC" w14:textId="77777777" w:rsidR="00AA245E" w:rsidRDefault="00AA245E" w:rsidP="00750FB1">
            <w:pPr>
              <w:pStyle w:val="ListParagraph"/>
              <w:ind w:left="0"/>
              <w:jc w:val="both"/>
            </w:pPr>
            <w:r>
              <w:t>CLASS</w:t>
            </w:r>
          </w:p>
        </w:tc>
        <w:tc>
          <w:tcPr>
            <w:tcW w:w="2977" w:type="dxa"/>
          </w:tcPr>
          <w:p w14:paraId="22D093DD" w14:textId="77777777" w:rsidR="00AA245E" w:rsidRDefault="00AA245E" w:rsidP="00750FB1">
            <w:pPr>
              <w:pStyle w:val="ListParagraph"/>
              <w:ind w:left="0"/>
              <w:jc w:val="both"/>
            </w:pPr>
            <w:r>
              <w:t>USE</w:t>
            </w:r>
          </w:p>
        </w:tc>
        <w:tc>
          <w:tcPr>
            <w:tcW w:w="2409" w:type="dxa"/>
          </w:tcPr>
          <w:p w14:paraId="36C55708" w14:textId="77777777" w:rsidR="00AA245E" w:rsidRDefault="00AA245E" w:rsidP="00750FB1">
            <w:pPr>
              <w:pStyle w:val="ListParagraph"/>
              <w:ind w:left="0"/>
              <w:jc w:val="both"/>
            </w:pPr>
            <w:r>
              <w:t>STANDALONE</w:t>
            </w:r>
          </w:p>
        </w:tc>
        <w:tc>
          <w:tcPr>
            <w:tcW w:w="2254" w:type="dxa"/>
          </w:tcPr>
          <w:p w14:paraId="4BA8AE43" w14:textId="77777777" w:rsidR="00AA245E" w:rsidRDefault="00AA245E" w:rsidP="00750FB1">
            <w:pPr>
              <w:pStyle w:val="ListParagraph"/>
              <w:ind w:left="0"/>
              <w:jc w:val="both"/>
            </w:pPr>
            <w:r>
              <w:t>EMBEDED</w:t>
            </w:r>
          </w:p>
        </w:tc>
      </w:tr>
      <w:tr w:rsidR="00AA245E" w14:paraId="45DEE756" w14:textId="77777777" w:rsidTr="00750FB1">
        <w:tc>
          <w:tcPr>
            <w:tcW w:w="1413" w:type="dxa"/>
          </w:tcPr>
          <w:p w14:paraId="1D874154" w14:textId="77777777" w:rsidR="00AA245E" w:rsidRDefault="00AA245E" w:rsidP="00750FB1">
            <w:pPr>
              <w:pStyle w:val="ListParagraph"/>
              <w:ind w:left="0"/>
              <w:jc w:val="both"/>
            </w:pPr>
          </w:p>
        </w:tc>
        <w:tc>
          <w:tcPr>
            <w:tcW w:w="2977" w:type="dxa"/>
          </w:tcPr>
          <w:p w14:paraId="68E1FBF8" w14:textId="77777777" w:rsidR="00AA245E" w:rsidRDefault="00AA245E" w:rsidP="00750FB1">
            <w:pPr>
              <w:pStyle w:val="ListParagraph"/>
              <w:ind w:left="0"/>
              <w:jc w:val="both"/>
            </w:pPr>
          </w:p>
        </w:tc>
        <w:tc>
          <w:tcPr>
            <w:tcW w:w="2409" w:type="dxa"/>
          </w:tcPr>
          <w:p w14:paraId="408C4BBC" w14:textId="77777777" w:rsidR="00AA245E" w:rsidRDefault="00AA245E" w:rsidP="00750FB1">
            <w:pPr>
              <w:pStyle w:val="ListParagraph"/>
              <w:ind w:left="0"/>
              <w:jc w:val="both"/>
            </w:pPr>
          </w:p>
        </w:tc>
        <w:tc>
          <w:tcPr>
            <w:tcW w:w="2254" w:type="dxa"/>
          </w:tcPr>
          <w:p w14:paraId="614241B0" w14:textId="77777777" w:rsidR="00AA245E" w:rsidRDefault="00AA245E" w:rsidP="00750FB1">
            <w:pPr>
              <w:pStyle w:val="ListParagraph"/>
              <w:ind w:left="0"/>
              <w:jc w:val="both"/>
            </w:pPr>
          </w:p>
        </w:tc>
      </w:tr>
      <w:tr w:rsidR="00AA245E" w14:paraId="34ECB18F" w14:textId="77777777" w:rsidTr="00750FB1">
        <w:tc>
          <w:tcPr>
            <w:tcW w:w="1413" w:type="dxa"/>
          </w:tcPr>
          <w:p w14:paraId="135DA563" w14:textId="77777777" w:rsidR="00AA245E" w:rsidRDefault="00AA245E" w:rsidP="00750FB1">
            <w:pPr>
              <w:pStyle w:val="ListParagraph"/>
              <w:ind w:left="0"/>
              <w:jc w:val="both"/>
            </w:pPr>
            <w:r>
              <w:t>Forwards</w:t>
            </w:r>
          </w:p>
        </w:tc>
        <w:tc>
          <w:tcPr>
            <w:tcW w:w="2977" w:type="dxa"/>
          </w:tcPr>
          <w:p w14:paraId="0A9E83F6" w14:textId="0234D7D8" w:rsidR="00AA245E" w:rsidRDefault="00AA245E" w:rsidP="00750FB1">
            <w:pPr>
              <w:pStyle w:val="ListParagraph"/>
              <w:ind w:left="0"/>
              <w:jc w:val="both"/>
            </w:pPr>
            <w:r>
              <w:t>To fix an interest or in</w:t>
            </w:r>
            <w:r w:rsidR="00186F66">
              <w:t>f</w:t>
            </w:r>
            <w:r>
              <w:t>lation rate for a single period in the future.</w:t>
            </w:r>
          </w:p>
        </w:tc>
        <w:tc>
          <w:tcPr>
            <w:tcW w:w="2409" w:type="dxa"/>
          </w:tcPr>
          <w:p w14:paraId="7E39224B" w14:textId="77777777" w:rsidR="00AA245E" w:rsidRDefault="00AA245E">
            <w:pPr>
              <w:pStyle w:val="ListParagraph"/>
              <w:ind w:left="0"/>
              <w:jc w:val="both"/>
            </w:pPr>
            <w:r>
              <w:t>Forward Rate Agreement (FRA)</w:t>
            </w:r>
            <w:r w:rsidR="006D03B4">
              <w:t>, gilt lock,</w:t>
            </w:r>
            <w:r>
              <w:t xml:space="preserve"> </w:t>
            </w:r>
            <w:r w:rsidR="006D03B4">
              <w:t>i</w:t>
            </w:r>
            <w:r>
              <w:t>nterest</w:t>
            </w:r>
            <w:r w:rsidR="006D03B4">
              <w:t xml:space="preserve"> rate </w:t>
            </w:r>
            <w:r>
              <w:t xml:space="preserve"> or gilt futures</w:t>
            </w:r>
          </w:p>
        </w:tc>
        <w:tc>
          <w:tcPr>
            <w:tcW w:w="2254" w:type="dxa"/>
          </w:tcPr>
          <w:p w14:paraId="70E5A4B5" w14:textId="77777777" w:rsidR="00AA245E" w:rsidRDefault="00AA245E" w:rsidP="00750FB1">
            <w:pPr>
              <w:pStyle w:val="ListParagraph"/>
              <w:ind w:left="0"/>
              <w:jc w:val="both"/>
            </w:pPr>
            <w:r>
              <w:t>Forward Deal</w:t>
            </w:r>
          </w:p>
        </w:tc>
      </w:tr>
      <w:tr w:rsidR="00AA245E" w14:paraId="4FD7898A" w14:textId="77777777" w:rsidTr="00750FB1">
        <w:tc>
          <w:tcPr>
            <w:tcW w:w="1413" w:type="dxa"/>
          </w:tcPr>
          <w:p w14:paraId="776493E3" w14:textId="77777777" w:rsidR="00AA245E" w:rsidRDefault="00AA245E" w:rsidP="00750FB1">
            <w:pPr>
              <w:pStyle w:val="ListParagraph"/>
              <w:ind w:left="0"/>
              <w:jc w:val="both"/>
            </w:pPr>
            <w:r>
              <w:t>Swaps</w:t>
            </w:r>
          </w:p>
        </w:tc>
        <w:tc>
          <w:tcPr>
            <w:tcW w:w="2977" w:type="dxa"/>
          </w:tcPr>
          <w:p w14:paraId="688A5C9B" w14:textId="66F28DBF" w:rsidR="00AA245E" w:rsidRDefault="00AA245E" w:rsidP="00750FB1">
            <w:pPr>
              <w:pStyle w:val="ListParagraph"/>
              <w:ind w:left="0"/>
              <w:jc w:val="both"/>
            </w:pPr>
            <w:r>
              <w:t>To exchange interest  or inflation rate exposures (e</w:t>
            </w:r>
            <w:r w:rsidR="00186F66">
              <w:t>.</w:t>
            </w:r>
            <w:r>
              <w:t>g. fixed to floating)</w:t>
            </w:r>
          </w:p>
        </w:tc>
        <w:tc>
          <w:tcPr>
            <w:tcW w:w="2409" w:type="dxa"/>
          </w:tcPr>
          <w:p w14:paraId="1F0F8AF1" w14:textId="77777777" w:rsidR="00AA245E" w:rsidRDefault="00AA245E" w:rsidP="00750FB1">
            <w:pPr>
              <w:pStyle w:val="ListParagraph"/>
              <w:ind w:left="0"/>
              <w:jc w:val="both"/>
            </w:pPr>
            <w:r>
              <w:t>Interest or inflation rate swap (IRS), Basis swap.</w:t>
            </w:r>
          </w:p>
        </w:tc>
        <w:tc>
          <w:tcPr>
            <w:tcW w:w="2254" w:type="dxa"/>
          </w:tcPr>
          <w:p w14:paraId="3251F0DB" w14:textId="77777777" w:rsidR="00AA245E" w:rsidRDefault="006D03B4" w:rsidP="00750FB1">
            <w:pPr>
              <w:pStyle w:val="ListParagraph"/>
              <w:ind w:left="0"/>
              <w:jc w:val="both"/>
            </w:pPr>
            <w:r>
              <w:t xml:space="preserve">Variable </w:t>
            </w:r>
            <w:r w:rsidR="00AA245E">
              <w:t>rate deposit, Floating rate note.</w:t>
            </w:r>
          </w:p>
          <w:p w14:paraId="0C91C8F8" w14:textId="77777777" w:rsidR="00AA245E" w:rsidRDefault="00AA245E" w:rsidP="00750FB1">
            <w:pPr>
              <w:pStyle w:val="ListParagraph"/>
              <w:ind w:left="0"/>
              <w:jc w:val="both"/>
            </w:pPr>
          </w:p>
        </w:tc>
      </w:tr>
      <w:tr w:rsidR="00AA245E" w14:paraId="21614D83" w14:textId="77777777" w:rsidTr="00750FB1">
        <w:tc>
          <w:tcPr>
            <w:tcW w:w="1413" w:type="dxa"/>
          </w:tcPr>
          <w:p w14:paraId="1AC45CDC" w14:textId="77777777" w:rsidR="00AA245E" w:rsidRDefault="006D03B4" w:rsidP="00750FB1">
            <w:pPr>
              <w:pStyle w:val="ListParagraph"/>
              <w:ind w:left="0"/>
              <w:jc w:val="both"/>
            </w:pPr>
            <w:r>
              <w:t xml:space="preserve">Purchased </w:t>
            </w:r>
            <w:r w:rsidR="00AA245E">
              <w:t>Options</w:t>
            </w:r>
          </w:p>
        </w:tc>
        <w:tc>
          <w:tcPr>
            <w:tcW w:w="2977" w:type="dxa"/>
          </w:tcPr>
          <w:p w14:paraId="7A2B22B5" w14:textId="77777777" w:rsidR="00AA245E" w:rsidRDefault="00AA245E" w:rsidP="00750FB1">
            <w:pPr>
              <w:pStyle w:val="ListParagraph"/>
              <w:ind w:left="0"/>
              <w:jc w:val="both"/>
            </w:pPr>
            <w:r>
              <w:t>The right but no obligation to fix an interest or inflation rate</w:t>
            </w:r>
            <w:r w:rsidR="006D03B4">
              <w:t xml:space="preserve"> in exchange for paying a premium.</w:t>
            </w:r>
          </w:p>
        </w:tc>
        <w:tc>
          <w:tcPr>
            <w:tcW w:w="2409" w:type="dxa"/>
          </w:tcPr>
          <w:p w14:paraId="63DF8232" w14:textId="77777777" w:rsidR="00AA245E" w:rsidRDefault="00AA245E" w:rsidP="00186F66">
            <w:pPr>
              <w:pStyle w:val="ListParagraph"/>
              <w:ind w:left="0"/>
            </w:pPr>
            <w:r>
              <w:t xml:space="preserve">Caps, floors, collars, </w:t>
            </w:r>
            <w:proofErr w:type="spellStart"/>
            <w:r>
              <w:t>swaptions</w:t>
            </w:r>
            <w:proofErr w:type="spellEnd"/>
            <w:r>
              <w:t>, puts, calls</w:t>
            </w:r>
          </w:p>
        </w:tc>
        <w:tc>
          <w:tcPr>
            <w:tcW w:w="2254" w:type="dxa"/>
          </w:tcPr>
          <w:p w14:paraId="1092AF87" w14:textId="77777777" w:rsidR="00AA245E" w:rsidRDefault="00AA245E" w:rsidP="00750FB1">
            <w:pPr>
              <w:pStyle w:val="ListParagraph"/>
              <w:ind w:left="0"/>
              <w:jc w:val="both"/>
            </w:pPr>
            <w:r>
              <w:t>Callable loan</w:t>
            </w:r>
          </w:p>
          <w:p w14:paraId="66648F14" w14:textId="77777777" w:rsidR="00AA245E" w:rsidRDefault="00AA245E" w:rsidP="00750FB1">
            <w:pPr>
              <w:pStyle w:val="ListParagraph"/>
              <w:ind w:left="0"/>
              <w:jc w:val="both"/>
            </w:pPr>
            <w:r>
              <w:t>Collared deposit</w:t>
            </w:r>
          </w:p>
          <w:p w14:paraId="3AD1E595" w14:textId="77777777" w:rsidR="00AA245E" w:rsidRDefault="00AA245E" w:rsidP="00750FB1">
            <w:pPr>
              <w:pStyle w:val="ListParagraph"/>
              <w:ind w:left="0"/>
              <w:jc w:val="both"/>
            </w:pPr>
          </w:p>
        </w:tc>
      </w:tr>
    </w:tbl>
    <w:p w14:paraId="2CE75FE6" w14:textId="77777777" w:rsidR="00AA245E" w:rsidRDefault="00AA245E" w:rsidP="00025990">
      <w:pPr>
        <w:jc w:val="both"/>
      </w:pPr>
    </w:p>
    <w:p w14:paraId="4356D511" w14:textId="77777777" w:rsidR="006D03B4" w:rsidRPr="00BF0506" w:rsidRDefault="006D03B4" w:rsidP="006D03B4">
      <w:pPr>
        <w:jc w:val="both"/>
      </w:pPr>
      <w:r w:rsidRPr="00BF0506">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w:t>
      </w:r>
    </w:p>
    <w:p w14:paraId="7538D732" w14:textId="77777777" w:rsidR="006D03B4" w:rsidRPr="002A48EA" w:rsidRDefault="006D03B4" w:rsidP="00025990">
      <w:pPr>
        <w:jc w:val="both"/>
      </w:pPr>
    </w:p>
    <w:p w14:paraId="20A49A31" w14:textId="77777777" w:rsidR="00233C79" w:rsidRDefault="00CA4968" w:rsidP="00025990">
      <w:pPr>
        <w:jc w:val="both"/>
      </w:pPr>
      <w:r>
        <w:t>There are two methods of engaging in derivative contracts, exchange traded</w:t>
      </w:r>
      <w:r w:rsidR="00FB70CD">
        <w:t xml:space="preserve"> or settled</w:t>
      </w:r>
      <w:r>
        <w:t xml:space="preserve"> derivatives and over the counter (OTC) derivatives. The form</w:t>
      </w:r>
      <w:r w:rsidR="0081300A">
        <w:t>e</w:t>
      </w:r>
      <w:r>
        <w:t>r are available in public markets and trade over a physical exchange with a clearing house acting as an intermed</w:t>
      </w:r>
      <w:r w:rsidR="0081300A">
        <w:t>iary and include futures and options. OTC contracts are privately negotiated and traded between two counterparties and</w:t>
      </w:r>
      <w:r w:rsidR="00FB70CD">
        <w:t xml:space="preserve"> can</w:t>
      </w:r>
      <w:r w:rsidR="0081300A">
        <w:t xml:space="preserve"> include swaps and forwards.</w:t>
      </w:r>
      <w:r w:rsidR="00FB70CD">
        <w:t xml:space="preserve"> </w:t>
      </w:r>
    </w:p>
    <w:p w14:paraId="65BC1B8C" w14:textId="77777777" w:rsidR="001B0774" w:rsidRDefault="001B0774" w:rsidP="00025990">
      <w:pPr>
        <w:jc w:val="both"/>
      </w:pPr>
    </w:p>
    <w:p w14:paraId="7C79AA37" w14:textId="77777777" w:rsidR="0081300A" w:rsidRDefault="001B0774" w:rsidP="00025990">
      <w:pPr>
        <w:jc w:val="both"/>
      </w:pPr>
      <w:r>
        <w:t xml:space="preserve">In a derivative contract both parties are </w:t>
      </w:r>
      <w:r w:rsidR="006D03B4">
        <w:t xml:space="preserve">often </w:t>
      </w:r>
      <w:r>
        <w:t xml:space="preserve">required to provide collateral </w:t>
      </w:r>
      <w:r w:rsidR="00BD7599">
        <w:t xml:space="preserve">(i.e. pools of valuable and liquid assets set aside specifically to back liabilities arising from the contract) </w:t>
      </w:r>
      <w:r>
        <w:t xml:space="preserve">to reduce </w:t>
      </w:r>
      <w:r w:rsidR="00BD7599">
        <w:t xml:space="preserve">credit risk. </w:t>
      </w:r>
      <w:r w:rsidR="0081300A">
        <w:t>The method of assessing counterparty quality a</w:t>
      </w:r>
      <w:r>
        <w:t xml:space="preserve">nd suitability of collateral within the structure </w:t>
      </w:r>
      <w:r w:rsidR="0081300A">
        <w:t xml:space="preserve">of the contracts </w:t>
      </w:r>
      <w:r>
        <w:t>is shown below:</w:t>
      </w:r>
    </w:p>
    <w:p w14:paraId="551BECA1" w14:textId="77777777" w:rsidR="00820C99" w:rsidRDefault="00820C99" w:rsidP="00025990">
      <w:pPr>
        <w:jc w:val="both"/>
      </w:pPr>
    </w:p>
    <w:p w14:paraId="2B51C4CA" w14:textId="7827F194" w:rsidR="00820C99" w:rsidRDefault="00820C99" w:rsidP="00025990">
      <w:pPr>
        <w:jc w:val="both"/>
      </w:pPr>
      <w:r>
        <w:t>Table 6</w:t>
      </w:r>
      <w:r w:rsidR="00186F66">
        <w:t xml:space="preserve">: </w:t>
      </w:r>
      <w:r>
        <w:t xml:space="preserve">Derivative counter party </w:t>
      </w:r>
    </w:p>
    <w:p w14:paraId="7AAC37FA" w14:textId="77777777" w:rsidR="0081300A" w:rsidRDefault="0081300A" w:rsidP="00025990">
      <w:pPr>
        <w:jc w:val="both"/>
      </w:pPr>
    </w:p>
    <w:tbl>
      <w:tblPr>
        <w:tblStyle w:val="TableGrid"/>
        <w:tblW w:w="9302" w:type="dxa"/>
        <w:tblLook w:val="04A0" w:firstRow="1" w:lastRow="0" w:firstColumn="1" w:lastColumn="0" w:noHBand="0" w:noVBand="1"/>
      </w:tblPr>
      <w:tblGrid>
        <w:gridCol w:w="2325"/>
        <w:gridCol w:w="2325"/>
        <w:gridCol w:w="2326"/>
        <w:gridCol w:w="2326"/>
      </w:tblGrid>
      <w:tr w:rsidR="0081300A" w14:paraId="0E186C59" w14:textId="77777777" w:rsidTr="00750FB1">
        <w:trPr>
          <w:trHeight w:val="447"/>
        </w:trPr>
        <w:tc>
          <w:tcPr>
            <w:tcW w:w="2325" w:type="dxa"/>
          </w:tcPr>
          <w:p w14:paraId="3BEC679C" w14:textId="77777777" w:rsidR="0081300A" w:rsidRDefault="0081300A" w:rsidP="00750FB1">
            <w:pPr>
              <w:jc w:val="both"/>
            </w:pPr>
            <w:r>
              <w:t>PRODUCT</w:t>
            </w:r>
          </w:p>
        </w:tc>
        <w:tc>
          <w:tcPr>
            <w:tcW w:w="2325" w:type="dxa"/>
          </w:tcPr>
          <w:p w14:paraId="774F93D3" w14:textId="77777777" w:rsidR="0081300A" w:rsidRDefault="001B0774" w:rsidP="001B0774">
            <w:pPr>
              <w:jc w:val="center"/>
            </w:pPr>
            <w:r>
              <w:t>COUNTERPARTY</w:t>
            </w:r>
          </w:p>
          <w:p w14:paraId="42E702C8" w14:textId="77777777" w:rsidR="001B0774" w:rsidRDefault="001B0774" w:rsidP="001B0774">
            <w:pPr>
              <w:jc w:val="center"/>
            </w:pPr>
            <w:r>
              <w:t>QUALITY</w:t>
            </w:r>
          </w:p>
        </w:tc>
        <w:tc>
          <w:tcPr>
            <w:tcW w:w="2326" w:type="dxa"/>
          </w:tcPr>
          <w:p w14:paraId="336299AF" w14:textId="77777777" w:rsidR="0081300A" w:rsidRDefault="001B0774" w:rsidP="00750FB1">
            <w:pPr>
              <w:jc w:val="both"/>
            </w:pPr>
            <w:r>
              <w:t>SECURITY</w:t>
            </w:r>
          </w:p>
        </w:tc>
        <w:tc>
          <w:tcPr>
            <w:tcW w:w="2326" w:type="dxa"/>
          </w:tcPr>
          <w:p w14:paraId="68AE9F0C" w14:textId="77777777" w:rsidR="0081300A" w:rsidRDefault="0081300A" w:rsidP="00750FB1">
            <w:pPr>
              <w:jc w:val="both"/>
            </w:pPr>
          </w:p>
        </w:tc>
      </w:tr>
      <w:tr w:rsidR="0081300A" w14:paraId="2BA7D5AE" w14:textId="77777777" w:rsidTr="00750FB1">
        <w:trPr>
          <w:trHeight w:val="447"/>
        </w:trPr>
        <w:tc>
          <w:tcPr>
            <w:tcW w:w="2325" w:type="dxa"/>
          </w:tcPr>
          <w:p w14:paraId="5A0155C4" w14:textId="77777777" w:rsidR="0081300A" w:rsidRDefault="0081300A" w:rsidP="00750FB1">
            <w:pPr>
              <w:jc w:val="both"/>
            </w:pPr>
            <w:r>
              <w:t>Exchange traded or cleared product</w:t>
            </w:r>
          </w:p>
        </w:tc>
        <w:tc>
          <w:tcPr>
            <w:tcW w:w="2325" w:type="dxa"/>
          </w:tcPr>
          <w:p w14:paraId="00442C54" w14:textId="77777777" w:rsidR="0081300A" w:rsidRDefault="0081300A" w:rsidP="00750FB1">
            <w:pPr>
              <w:jc w:val="both"/>
            </w:pPr>
            <w:r>
              <w:t>Credit rating of exchange</w:t>
            </w:r>
          </w:p>
        </w:tc>
        <w:tc>
          <w:tcPr>
            <w:tcW w:w="2326" w:type="dxa"/>
          </w:tcPr>
          <w:p w14:paraId="52654A1D" w14:textId="77777777" w:rsidR="0081300A" w:rsidRDefault="0081300A" w:rsidP="00750FB1">
            <w:pPr>
              <w:jc w:val="both"/>
            </w:pPr>
            <w:r>
              <w:t>Credit rating of Clearing agent</w:t>
            </w:r>
          </w:p>
        </w:tc>
        <w:tc>
          <w:tcPr>
            <w:tcW w:w="2326" w:type="dxa"/>
          </w:tcPr>
          <w:p w14:paraId="12D90BD6" w14:textId="77777777" w:rsidR="0081300A" w:rsidRDefault="0081300A" w:rsidP="00750FB1">
            <w:pPr>
              <w:jc w:val="both"/>
            </w:pPr>
            <w:r>
              <w:t xml:space="preserve">Margin netting </w:t>
            </w:r>
          </w:p>
        </w:tc>
      </w:tr>
      <w:tr w:rsidR="0081300A" w14:paraId="76E8A20C" w14:textId="77777777" w:rsidTr="00750FB1">
        <w:trPr>
          <w:trHeight w:val="447"/>
        </w:trPr>
        <w:tc>
          <w:tcPr>
            <w:tcW w:w="2325" w:type="dxa"/>
          </w:tcPr>
          <w:p w14:paraId="60BD2BE2" w14:textId="77777777" w:rsidR="0081300A" w:rsidRDefault="0081300A" w:rsidP="00750FB1">
            <w:pPr>
              <w:jc w:val="both"/>
            </w:pPr>
            <w:r>
              <w:t>Bilateral FRAs and  swaps assuming netting</w:t>
            </w:r>
          </w:p>
        </w:tc>
        <w:tc>
          <w:tcPr>
            <w:tcW w:w="2325" w:type="dxa"/>
          </w:tcPr>
          <w:p w14:paraId="5449555E" w14:textId="77777777" w:rsidR="0081300A" w:rsidRDefault="0081300A" w:rsidP="00750FB1">
            <w:pPr>
              <w:jc w:val="both"/>
            </w:pPr>
            <w:r>
              <w:t>Credit rating of counterparty</w:t>
            </w:r>
          </w:p>
        </w:tc>
        <w:tc>
          <w:tcPr>
            <w:tcW w:w="2326" w:type="dxa"/>
          </w:tcPr>
          <w:p w14:paraId="1C5CCFF1" w14:textId="77777777" w:rsidR="0081300A" w:rsidRDefault="0081300A" w:rsidP="00750FB1">
            <w:pPr>
              <w:jc w:val="both"/>
            </w:pPr>
            <w:r>
              <w:t>Full 2-way collateral arrangements</w:t>
            </w:r>
          </w:p>
        </w:tc>
        <w:tc>
          <w:tcPr>
            <w:tcW w:w="2326" w:type="dxa"/>
          </w:tcPr>
          <w:p w14:paraId="2FA20D65" w14:textId="77777777" w:rsidR="0081300A" w:rsidRDefault="0081300A" w:rsidP="00750FB1">
            <w:pPr>
              <w:jc w:val="both"/>
            </w:pPr>
            <w:r>
              <w:t>Types of collateral agreed and any haircuts</w:t>
            </w:r>
          </w:p>
        </w:tc>
      </w:tr>
      <w:tr w:rsidR="0081300A" w14:paraId="414890A4" w14:textId="77777777" w:rsidTr="00750FB1">
        <w:trPr>
          <w:trHeight w:val="447"/>
        </w:trPr>
        <w:tc>
          <w:tcPr>
            <w:tcW w:w="2325" w:type="dxa"/>
          </w:tcPr>
          <w:p w14:paraId="559D95B4" w14:textId="77777777" w:rsidR="0081300A" w:rsidRDefault="0081300A" w:rsidP="00750FB1">
            <w:pPr>
              <w:jc w:val="both"/>
            </w:pPr>
            <w:r>
              <w:t>OTC Options</w:t>
            </w:r>
          </w:p>
        </w:tc>
        <w:tc>
          <w:tcPr>
            <w:tcW w:w="2325" w:type="dxa"/>
          </w:tcPr>
          <w:p w14:paraId="1984F13C" w14:textId="77777777" w:rsidR="0081300A" w:rsidRDefault="0081300A" w:rsidP="00750FB1">
            <w:pPr>
              <w:jc w:val="both"/>
            </w:pPr>
            <w:r>
              <w:t>Credit rating of counterparty</w:t>
            </w:r>
          </w:p>
        </w:tc>
        <w:tc>
          <w:tcPr>
            <w:tcW w:w="2326" w:type="dxa"/>
          </w:tcPr>
          <w:p w14:paraId="1C275248" w14:textId="77777777" w:rsidR="0081300A" w:rsidRDefault="0081300A" w:rsidP="00750FB1">
            <w:pPr>
              <w:jc w:val="both"/>
            </w:pPr>
            <w:r>
              <w:t xml:space="preserve">Agreed full 2-way collateral </w:t>
            </w:r>
          </w:p>
        </w:tc>
        <w:tc>
          <w:tcPr>
            <w:tcW w:w="2326" w:type="dxa"/>
          </w:tcPr>
          <w:p w14:paraId="2B8C5293" w14:textId="77777777" w:rsidR="0081300A" w:rsidRDefault="0081300A" w:rsidP="00750FB1">
            <w:pPr>
              <w:jc w:val="both"/>
            </w:pPr>
            <w:r>
              <w:t>Types of collateral and haircuts</w:t>
            </w:r>
          </w:p>
        </w:tc>
      </w:tr>
      <w:tr w:rsidR="0081300A" w14:paraId="67B93D9D" w14:textId="77777777" w:rsidTr="00750FB1">
        <w:trPr>
          <w:trHeight w:val="472"/>
        </w:trPr>
        <w:tc>
          <w:tcPr>
            <w:tcW w:w="2325" w:type="dxa"/>
          </w:tcPr>
          <w:p w14:paraId="17E1C91C" w14:textId="77777777" w:rsidR="0081300A" w:rsidRDefault="0081300A" w:rsidP="00750FB1">
            <w:pPr>
              <w:jc w:val="both"/>
            </w:pPr>
            <w:r>
              <w:t>Intra LA swaps etc</w:t>
            </w:r>
          </w:p>
        </w:tc>
        <w:tc>
          <w:tcPr>
            <w:tcW w:w="2325" w:type="dxa"/>
          </w:tcPr>
          <w:p w14:paraId="4BECEF5E" w14:textId="77777777" w:rsidR="0081300A" w:rsidRDefault="0081300A" w:rsidP="00750FB1">
            <w:pPr>
              <w:jc w:val="both"/>
            </w:pPr>
            <w:r>
              <w:t>Assumed Credit rating</w:t>
            </w:r>
          </w:p>
        </w:tc>
        <w:tc>
          <w:tcPr>
            <w:tcW w:w="2326" w:type="dxa"/>
          </w:tcPr>
          <w:p w14:paraId="5BA7CBD4" w14:textId="77777777" w:rsidR="0081300A" w:rsidRDefault="0081300A" w:rsidP="00750FB1">
            <w:pPr>
              <w:jc w:val="both"/>
            </w:pPr>
            <w:r>
              <w:t>2-way collateral (cash)</w:t>
            </w:r>
          </w:p>
        </w:tc>
        <w:tc>
          <w:tcPr>
            <w:tcW w:w="2326" w:type="dxa"/>
          </w:tcPr>
          <w:p w14:paraId="4F436652" w14:textId="77777777" w:rsidR="0081300A" w:rsidRDefault="0081300A" w:rsidP="00750FB1">
            <w:pPr>
              <w:jc w:val="both"/>
            </w:pPr>
            <w:r>
              <w:t xml:space="preserve">No haircut </w:t>
            </w:r>
          </w:p>
        </w:tc>
      </w:tr>
    </w:tbl>
    <w:p w14:paraId="487DAA78" w14:textId="77777777" w:rsidR="0081300A" w:rsidRDefault="0081300A" w:rsidP="00025990">
      <w:pPr>
        <w:jc w:val="both"/>
      </w:pPr>
    </w:p>
    <w:p w14:paraId="18018FCB" w14:textId="77777777" w:rsidR="00023306" w:rsidRDefault="00BD7599" w:rsidP="00025990">
      <w:pPr>
        <w:jc w:val="both"/>
      </w:pPr>
      <w:r>
        <w:t xml:space="preserve">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w:t>
      </w:r>
      <w:r w:rsidR="00023306">
        <w:t>problems.</w:t>
      </w:r>
    </w:p>
    <w:p w14:paraId="0EF61C31" w14:textId="77777777" w:rsidR="00023306" w:rsidRDefault="00023306" w:rsidP="00025990">
      <w:pPr>
        <w:jc w:val="both"/>
      </w:pPr>
    </w:p>
    <w:p w14:paraId="12A4352E" w14:textId="77777777" w:rsidR="00023306" w:rsidRDefault="00023306" w:rsidP="00025990">
      <w:pPr>
        <w:jc w:val="both"/>
      </w:pPr>
      <w:r>
        <w:t>The table below defines the appropriate limits for collateral quality:</w:t>
      </w:r>
    </w:p>
    <w:p w14:paraId="7C5A8DB9" w14:textId="77777777" w:rsidR="00820C99" w:rsidRDefault="00820C99" w:rsidP="00025990">
      <w:pPr>
        <w:jc w:val="both"/>
      </w:pPr>
    </w:p>
    <w:p w14:paraId="38FBE286" w14:textId="2F6BBC2B" w:rsidR="00820C99" w:rsidRDefault="00820C99" w:rsidP="00025990">
      <w:pPr>
        <w:jc w:val="both"/>
      </w:pPr>
      <w:r>
        <w:t>Table 7</w:t>
      </w:r>
      <w:r w:rsidR="00186F66">
        <w:t>:</w:t>
      </w:r>
      <w:r>
        <w:t xml:space="preserve"> Collateral quality Limits</w:t>
      </w:r>
    </w:p>
    <w:p w14:paraId="4098F416" w14:textId="77777777" w:rsidR="00023306" w:rsidRDefault="00023306" w:rsidP="00025990">
      <w:pPr>
        <w:jc w:val="both"/>
      </w:pPr>
    </w:p>
    <w:tbl>
      <w:tblPr>
        <w:tblStyle w:val="TableGrid"/>
        <w:tblW w:w="0" w:type="auto"/>
        <w:tblLook w:val="04A0" w:firstRow="1" w:lastRow="0" w:firstColumn="1" w:lastColumn="0" w:noHBand="0" w:noVBand="1"/>
      </w:tblPr>
      <w:tblGrid>
        <w:gridCol w:w="1812"/>
        <w:gridCol w:w="1845"/>
        <w:gridCol w:w="1755"/>
        <w:gridCol w:w="1846"/>
        <w:gridCol w:w="1758"/>
      </w:tblGrid>
      <w:tr w:rsidR="00023306" w14:paraId="5B40B562" w14:textId="77777777" w:rsidTr="00750FB1">
        <w:tc>
          <w:tcPr>
            <w:tcW w:w="1848" w:type="dxa"/>
          </w:tcPr>
          <w:p w14:paraId="46D8C9AE" w14:textId="77777777" w:rsidR="00023306" w:rsidRDefault="00023306" w:rsidP="00750FB1">
            <w:pPr>
              <w:jc w:val="both"/>
            </w:pPr>
            <w:r>
              <w:t>Counterparty type</w:t>
            </w:r>
          </w:p>
        </w:tc>
        <w:tc>
          <w:tcPr>
            <w:tcW w:w="1848" w:type="dxa"/>
          </w:tcPr>
          <w:p w14:paraId="05BE0250" w14:textId="77777777" w:rsidR="00023306" w:rsidRDefault="00023306" w:rsidP="00750FB1">
            <w:pPr>
              <w:jc w:val="both"/>
            </w:pPr>
            <w:r>
              <w:t>Documentation</w:t>
            </w:r>
          </w:p>
        </w:tc>
        <w:tc>
          <w:tcPr>
            <w:tcW w:w="1848" w:type="dxa"/>
          </w:tcPr>
          <w:p w14:paraId="656B7254" w14:textId="77777777" w:rsidR="00023306" w:rsidRDefault="00023306" w:rsidP="00750FB1">
            <w:pPr>
              <w:jc w:val="both"/>
            </w:pPr>
            <w:r>
              <w:t>Collateral types</w:t>
            </w:r>
          </w:p>
        </w:tc>
        <w:tc>
          <w:tcPr>
            <w:tcW w:w="1849" w:type="dxa"/>
          </w:tcPr>
          <w:p w14:paraId="660DF45A" w14:textId="77777777" w:rsidR="00023306" w:rsidRDefault="00023306" w:rsidP="00750FB1">
            <w:pPr>
              <w:jc w:val="both"/>
            </w:pPr>
            <w:r>
              <w:t>CDS levels</w:t>
            </w:r>
          </w:p>
        </w:tc>
        <w:tc>
          <w:tcPr>
            <w:tcW w:w="1849" w:type="dxa"/>
          </w:tcPr>
          <w:p w14:paraId="406419DB" w14:textId="77777777" w:rsidR="00023306" w:rsidRDefault="00023306" w:rsidP="00750FB1">
            <w:pPr>
              <w:jc w:val="both"/>
            </w:pPr>
            <w:r>
              <w:t>Rating</w:t>
            </w:r>
          </w:p>
        </w:tc>
      </w:tr>
      <w:tr w:rsidR="00023306" w14:paraId="434597A6" w14:textId="77777777" w:rsidTr="00750FB1">
        <w:tc>
          <w:tcPr>
            <w:tcW w:w="1848" w:type="dxa"/>
          </w:tcPr>
          <w:p w14:paraId="5C7B4DBC" w14:textId="77777777" w:rsidR="00023306" w:rsidRDefault="00023306" w:rsidP="00750FB1">
            <w:pPr>
              <w:jc w:val="both"/>
            </w:pPr>
            <w:r>
              <w:t>Exchange</w:t>
            </w:r>
          </w:p>
        </w:tc>
        <w:tc>
          <w:tcPr>
            <w:tcW w:w="1848" w:type="dxa"/>
          </w:tcPr>
          <w:p w14:paraId="01621D09" w14:textId="77777777" w:rsidR="00023306" w:rsidRDefault="00023306" w:rsidP="00750FB1">
            <w:pPr>
              <w:jc w:val="both"/>
            </w:pPr>
            <w:r>
              <w:t>MIFCA</w:t>
            </w:r>
          </w:p>
        </w:tc>
        <w:tc>
          <w:tcPr>
            <w:tcW w:w="1848" w:type="dxa"/>
          </w:tcPr>
          <w:p w14:paraId="2C009FCA" w14:textId="77777777" w:rsidR="00023306" w:rsidRDefault="00023306" w:rsidP="00750FB1">
            <w:pPr>
              <w:jc w:val="both"/>
            </w:pPr>
            <w:r>
              <w:t>Cash margins</w:t>
            </w:r>
          </w:p>
        </w:tc>
        <w:tc>
          <w:tcPr>
            <w:tcW w:w="1849" w:type="dxa"/>
          </w:tcPr>
          <w:p w14:paraId="2EFEC0BB" w14:textId="77777777" w:rsidR="00023306" w:rsidRDefault="00023306" w:rsidP="00750FB1">
            <w:pPr>
              <w:jc w:val="both"/>
            </w:pPr>
            <w:r>
              <w:t>&lt;75bp</w:t>
            </w:r>
          </w:p>
        </w:tc>
        <w:tc>
          <w:tcPr>
            <w:tcW w:w="1849" w:type="dxa"/>
          </w:tcPr>
          <w:p w14:paraId="7E349BB0" w14:textId="77777777" w:rsidR="00023306" w:rsidRDefault="00023306" w:rsidP="00750FB1">
            <w:pPr>
              <w:jc w:val="both"/>
            </w:pPr>
            <w:r>
              <w:t>AA</w:t>
            </w:r>
          </w:p>
        </w:tc>
      </w:tr>
      <w:tr w:rsidR="00023306" w14:paraId="62329DAE" w14:textId="77777777" w:rsidTr="00750FB1">
        <w:tc>
          <w:tcPr>
            <w:tcW w:w="1848" w:type="dxa"/>
          </w:tcPr>
          <w:p w14:paraId="5FD7A254" w14:textId="77777777" w:rsidR="00023306" w:rsidRDefault="00023306" w:rsidP="00750FB1">
            <w:pPr>
              <w:jc w:val="both"/>
            </w:pPr>
            <w:r>
              <w:t>Banks</w:t>
            </w:r>
          </w:p>
        </w:tc>
        <w:tc>
          <w:tcPr>
            <w:tcW w:w="1848" w:type="dxa"/>
          </w:tcPr>
          <w:p w14:paraId="6E7B6759" w14:textId="77777777" w:rsidR="00023306" w:rsidRDefault="00023306" w:rsidP="00750FB1">
            <w:pPr>
              <w:jc w:val="both"/>
            </w:pPr>
            <w:r>
              <w:t>ISDA/CSA</w:t>
            </w:r>
          </w:p>
        </w:tc>
        <w:tc>
          <w:tcPr>
            <w:tcW w:w="1848" w:type="dxa"/>
          </w:tcPr>
          <w:p w14:paraId="0F38C4AF" w14:textId="77777777" w:rsidR="00023306" w:rsidRDefault="00023306" w:rsidP="00750FB1">
            <w:pPr>
              <w:jc w:val="both"/>
            </w:pPr>
            <w:r>
              <w:t xml:space="preserve">Cash and </w:t>
            </w:r>
            <w:proofErr w:type="spellStart"/>
            <w:r>
              <w:t>Govt</w:t>
            </w:r>
            <w:proofErr w:type="spellEnd"/>
            <w:r>
              <w:t xml:space="preserve"> bonds</w:t>
            </w:r>
          </w:p>
        </w:tc>
        <w:tc>
          <w:tcPr>
            <w:tcW w:w="1849" w:type="dxa"/>
          </w:tcPr>
          <w:p w14:paraId="0FDE3116" w14:textId="77777777" w:rsidR="00023306" w:rsidRDefault="00023306" w:rsidP="00750FB1">
            <w:pPr>
              <w:jc w:val="both"/>
            </w:pPr>
            <w:r>
              <w:t>&lt;100bp</w:t>
            </w:r>
          </w:p>
        </w:tc>
        <w:tc>
          <w:tcPr>
            <w:tcW w:w="1849" w:type="dxa"/>
          </w:tcPr>
          <w:p w14:paraId="5A0DE5B8" w14:textId="77777777" w:rsidR="00023306" w:rsidRDefault="00023306" w:rsidP="00750FB1">
            <w:pPr>
              <w:jc w:val="both"/>
            </w:pPr>
            <w:r>
              <w:t>A3</w:t>
            </w:r>
          </w:p>
        </w:tc>
      </w:tr>
      <w:tr w:rsidR="00023306" w14:paraId="42D07E35" w14:textId="77777777" w:rsidTr="00750FB1">
        <w:tc>
          <w:tcPr>
            <w:tcW w:w="1848" w:type="dxa"/>
          </w:tcPr>
          <w:p w14:paraId="4AD8143F" w14:textId="77777777" w:rsidR="00023306" w:rsidRDefault="00023306" w:rsidP="00750FB1">
            <w:pPr>
              <w:jc w:val="both"/>
            </w:pPr>
            <w:r>
              <w:t>Insurers and Pension Funds</w:t>
            </w:r>
          </w:p>
        </w:tc>
        <w:tc>
          <w:tcPr>
            <w:tcW w:w="1848" w:type="dxa"/>
          </w:tcPr>
          <w:p w14:paraId="5E8D8E46" w14:textId="77777777" w:rsidR="00023306" w:rsidRDefault="00023306" w:rsidP="00750FB1">
            <w:pPr>
              <w:jc w:val="both"/>
            </w:pPr>
            <w:r>
              <w:t>ISDA CSA</w:t>
            </w:r>
          </w:p>
        </w:tc>
        <w:tc>
          <w:tcPr>
            <w:tcW w:w="1848" w:type="dxa"/>
          </w:tcPr>
          <w:p w14:paraId="77980804" w14:textId="77777777" w:rsidR="00023306" w:rsidRDefault="00023306" w:rsidP="00750FB1">
            <w:pPr>
              <w:jc w:val="both"/>
            </w:pPr>
            <w:r>
              <w:t>Cash</w:t>
            </w:r>
            <w:r w:rsidR="00EA6E8D">
              <w:t>,</w:t>
            </w:r>
            <w:r>
              <w:t xml:space="preserve"> </w:t>
            </w:r>
            <w:proofErr w:type="spellStart"/>
            <w:r>
              <w:t>Govt</w:t>
            </w:r>
            <w:proofErr w:type="spellEnd"/>
            <w:r>
              <w:t xml:space="preserve"> Bonds</w:t>
            </w:r>
          </w:p>
        </w:tc>
        <w:tc>
          <w:tcPr>
            <w:tcW w:w="1849" w:type="dxa"/>
          </w:tcPr>
          <w:p w14:paraId="1E787392" w14:textId="77777777" w:rsidR="00023306" w:rsidRDefault="00023306" w:rsidP="00750FB1">
            <w:pPr>
              <w:jc w:val="both"/>
            </w:pPr>
            <w:r>
              <w:t>&lt;100 (Insurers)</w:t>
            </w:r>
          </w:p>
        </w:tc>
        <w:tc>
          <w:tcPr>
            <w:tcW w:w="1849" w:type="dxa"/>
          </w:tcPr>
          <w:p w14:paraId="0DF67418" w14:textId="77777777" w:rsidR="00023306" w:rsidRDefault="00023306" w:rsidP="00750FB1">
            <w:pPr>
              <w:jc w:val="both"/>
            </w:pPr>
            <w:r>
              <w:t>A3 (Insurers)</w:t>
            </w:r>
          </w:p>
        </w:tc>
      </w:tr>
      <w:tr w:rsidR="00023306" w14:paraId="05BF63E8" w14:textId="77777777" w:rsidTr="00750FB1">
        <w:tc>
          <w:tcPr>
            <w:tcW w:w="1848" w:type="dxa"/>
          </w:tcPr>
          <w:p w14:paraId="538687A7" w14:textId="77777777" w:rsidR="00023306" w:rsidRDefault="00023306" w:rsidP="00750FB1">
            <w:pPr>
              <w:jc w:val="both"/>
            </w:pPr>
            <w:r>
              <w:t>LAs</w:t>
            </w:r>
          </w:p>
        </w:tc>
        <w:tc>
          <w:tcPr>
            <w:tcW w:w="1848" w:type="dxa"/>
          </w:tcPr>
          <w:p w14:paraId="6B0EE7AF" w14:textId="77777777" w:rsidR="00023306" w:rsidRDefault="00023306" w:rsidP="00750FB1">
            <w:pPr>
              <w:jc w:val="both"/>
            </w:pPr>
            <w:r>
              <w:t>Contract</w:t>
            </w:r>
          </w:p>
        </w:tc>
        <w:tc>
          <w:tcPr>
            <w:tcW w:w="1848" w:type="dxa"/>
          </w:tcPr>
          <w:p w14:paraId="35DB127F" w14:textId="77777777" w:rsidR="00023306" w:rsidRDefault="00023306" w:rsidP="00750FB1">
            <w:pPr>
              <w:jc w:val="both"/>
            </w:pPr>
            <w:r>
              <w:t>Cash</w:t>
            </w:r>
            <w:r w:rsidR="00EA6E8D">
              <w:t xml:space="preserve">, </w:t>
            </w:r>
            <w:proofErr w:type="spellStart"/>
            <w:r w:rsidR="00EA6E8D">
              <w:t>Govt</w:t>
            </w:r>
            <w:proofErr w:type="spellEnd"/>
            <w:r w:rsidR="00EA6E8D">
              <w:t xml:space="preserve"> Bonds </w:t>
            </w:r>
          </w:p>
        </w:tc>
        <w:tc>
          <w:tcPr>
            <w:tcW w:w="1849" w:type="dxa"/>
          </w:tcPr>
          <w:p w14:paraId="30615799" w14:textId="77777777" w:rsidR="00023306" w:rsidRDefault="00023306" w:rsidP="00750FB1">
            <w:pPr>
              <w:jc w:val="both"/>
            </w:pPr>
            <w:r>
              <w:t>England/Wales None</w:t>
            </w:r>
          </w:p>
        </w:tc>
        <w:tc>
          <w:tcPr>
            <w:tcW w:w="1849" w:type="dxa"/>
          </w:tcPr>
          <w:p w14:paraId="216A4AAC" w14:textId="77777777" w:rsidR="00023306" w:rsidRDefault="00023306" w:rsidP="00750FB1">
            <w:pPr>
              <w:jc w:val="both"/>
            </w:pPr>
            <w:r>
              <w:t>England and Wales None</w:t>
            </w:r>
          </w:p>
        </w:tc>
      </w:tr>
    </w:tbl>
    <w:p w14:paraId="1A687055" w14:textId="77777777" w:rsidR="00023306" w:rsidRDefault="00023306" w:rsidP="00025990">
      <w:pPr>
        <w:jc w:val="both"/>
      </w:pPr>
    </w:p>
    <w:p w14:paraId="241D6CE6" w14:textId="77777777" w:rsidR="00023306" w:rsidRDefault="00023306" w:rsidP="00025990">
      <w:pPr>
        <w:jc w:val="both"/>
      </w:pPr>
      <w:r>
        <w:t>The County Council will only use derivative contracts to hedge existing risks. This is reflected in the limits below which in future will form a local indicator as part of the Prudential Indicators agreed by the County Council within the annual Treasury Management Strategy. These are shown in the table below, the 100% upper limit means that the County Council has the option to hedge all of</w:t>
      </w:r>
      <w:r w:rsidR="00D84DEF">
        <w:t>,</w:t>
      </w:r>
      <w:r>
        <w:t xml:space="preserve"> </w:t>
      </w:r>
      <w:r w:rsidR="00D84DEF">
        <w:t xml:space="preserve">but not more than, </w:t>
      </w:r>
      <w:r>
        <w:t>its interest rate risk if felt appropriate</w:t>
      </w:r>
      <w:r w:rsidR="00D84DEF">
        <w:t>.</w:t>
      </w:r>
      <w:r>
        <w:t xml:space="preserve">  </w:t>
      </w:r>
    </w:p>
    <w:p w14:paraId="5277F924" w14:textId="77777777" w:rsidR="00EF6926" w:rsidRDefault="00EF6926" w:rsidP="00025990">
      <w:pPr>
        <w:jc w:val="both"/>
      </w:pPr>
    </w:p>
    <w:p w14:paraId="5F9DC526" w14:textId="77777777" w:rsidR="00EF6926" w:rsidRDefault="00EF6926" w:rsidP="00025990">
      <w:pPr>
        <w:jc w:val="both"/>
      </w:pPr>
    </w:p>
    <w:p w14:paraId="42A1324C" w14:textId="77777777" w:rsidR="00EF6926" w:rsidRDefault="00EF6926" w:rsidP="00025990">
      <w:pPr>
        <w:jc w:val="both"/>
      </w:pPr>
    </w:p>
    <w:p w14:paraId="3D13723D" w14:textId="77777777" w:rsidR="00EF6926" w:rsidRDefault="00EF6926" w:rsidP="00025990">
      <w:pPr>
        <w:jc w:val="both"/>
      </w:pPr>
    </w:p>
    <w:p w14:paraId="55E4EFB6" w14:textId="77777777" w:rsidR="00186F66" w:rsidRDefault="00186F66" w:rsidP="00025990">
      <w:pPr>
        <w:jc w:val="both"/>
      </w:pPr>
    </w:p>
    <w:p w14:paraId="4ACD0F94" w14:textId="77777777" w:rsidR="00186F66" w:rsidRDefault="00186F66" w:rsidP="00025990">
      <w:pPr>
        <w:jc w:val="both"/>
      </w:pPr>
    </w:p>
    <w:p w14:paraId="37DB8146" w14:textId="77777777" w:rsidR="00186F66" w:rsidRDefault="00186F66" w:rsidP="00025990">
      <w:pPr>
        <w:jc w:val="both"/>
      </w:pPr>
    </w:p>
    <w:p w14:paraId="7AFB3278" w14:textId="77777777" w:rsidR="00186F66" w:rsidRDefault="00186F66" w:rsidP="00025990">
      <w:pPr>
        <w:jc w:val="both"/>
      </w:pPr>
    </w:p>
    <w:p w14:paraId="11CC0FD8" w14:textId="77777777" w:rsidR="00186F66" w:rsidRDefault="00186F66" w:rsidP="00025990">
      <w:pPr>
        <w:jc w:val="both"/>
      </w:pPr>
    </w:p>
    <w:p w14:paraId="12D93D6D" w14:textId="77777777" w:rsidR="00EF6926" w:rsidRDefault="00EF6926" w:rsidP="00025990">
      <w:pPr>
        <w:jc w:val="both"/>
      </w:pPr>
    </w:p>
    <w:p w14:paraId="74A9303D" w14:textId="531E8BC5" w:rsidR="00EF6926" w:rsidRDefault="00EF6926" w:rsidP="00025990">
      <w:pPr>
        <w:jc w:val="both"/>
      </w:pPr>
      <w:r>
        <w:t>Table 8</w:t>
      </w:r>
      <w:r w:rsidR="00186F66">
        <w:t>:</w:t>
      </w:r>
      <w:r>
        <w:t xml:space="preserve"> Hedge Limits</w:t>
      </w:r>
    </w:p>
    <w:p w14:paraId="0DC17A28" w14:textId="77777777" w:rsidR="00EF6926" w:rsidRDefault="00EF6926" w:rsidP="00025990">
      <w:pPr>
        <w:jc w:val="both"/>
      </w:pPr>
    </w:p>
    <w:p w14:paraId="17E789A6" w14:textId="77777777" w:rsidR="00023306" w:rsidRDefault="00023306" w:rsidP="00025990">
      <w:pPr>
        <w:jc w:val="both"/>
      </w:pPr>
      <w:r>
        <w:t xml:space="preserve"> </w:t>
      </w:r>
    </w:p>
    <w:tbl>
      <w:tblPr>
        <w:tblStyle w:val="TableGrid"/>
        <w:tblW w:w="0" w:type="auto"/>
        <w:tblLook w:val="04A0" w:firstRow="1" w:lastRow="0" w:firstColumn="1" w:lastColumn="0" w:noHBand="0" w:noVBand="1"/>
      </w:tblPr>
      <w:tblGrid>
        <w:gridCol w:w="1820"/>
        <w:gridCol w:w="1742"/>
        <w:gridCol w:w="1742"/>
        <w:gridCol w:w="1815"/>
        <w:gridCol w:w="1897"/>
      </w:tblGrid>
      <w:tr w:rsidR="00D84DEF" w14:paraId="684A332A" w14:textId="77777777" w:rsidTr="00BF0506">
        <w:tc>
          <w:tcPr>
            <w:tcW w:w="1820" w:type="dxa"/>
          </w:tcPr>
          <w:p w14:paraId="289873D5" w14:textId="77777777" w:rsidR="00D84DEF" w:rsidRDefault="00D84DEF" w:rsidP="00750FB1">
            <w:pPr>
              <w:jc w:val="both"/>
            </w:pPr>
            <w:r>
              <w:t>Exposure Metric</w:t>
            </w:r>
          </w:p>
        </w:tc>
        <w:tc>
          <w:tcPr>
            <w:tcW w:w="1742" w:type="dxa"/>
          </w:tcPr>
          <w:p w14:paraId="7BA073A3" w14:textId="77777777" w:rsidR="00D84DEF" w:rsidRDefault="00D84DEF" w:rsidP="00750FB1">
            <w:pPr>
              <w:jc w:val="both"/>
            </w:pPr>
            <w:r>
              <w:t>Min Hedge</w:t>
            </w:r>
          </w:p>
        </w:tc>
        <w:tc>
          <w:tcPr>
            <w:tcW w:w="1742" w:type="dxa"/>
          </w:tcPr>
          <w:p w14:paraId="55813C6F" w14:textId="77777777" w:rsidR="00D84DEF" w:rsidRDefault="00D84DEF" w:rsidP="00750FB1">
            <w:pPr>
              <w:jc w:val="both"/>
            </w:pPr>
            <w:r>
              <w:t>Max Hedge</w:t>
            </w:r>
          </w:p>
        </w:tc>
        <w:tc>
          <w:tcPr>
            <w:tcW w:w="1815" w:type="dxa"/>
          </w:tcPr>
          <w:p w14:paraId="59F850DB" w14:textId="77777777" w:rsidR="00D84DEF" w:rsidRDefault="00D84DEF" w:rsidP="00750FB1">
            <w:pPr>
              <w:jc w:val="both"/>
            </w:pPr>
            <w:r>
              <w:t>Granularity</w:t>
            </w:r>
          </w:p>
        </w:tc>
        <w:tc>
          <w:tcPr>
            <w:tcW w:w="1897" w:type="dxa"/>
          </w:tcPr>
          <w:p w14:paraId="2642B5EE" w14:textId="77777777" w:rsidR="00D84DEF" w:rsidRDefault="00D84DEF" w:rsidP="00750FB1">
            <w:pPr>
              <w:jc w:val="both"/>
            </w:pPr>
            <w:r>
              <w:t>Tool</w:t>
            </w:r>
          </w:p>
        </w:tc>
      </w:tr>
      <w:tr w:rsidR="00D84DEF" w14:paraId="20898F83" w14:textId="77777777" w:rsidTr="00BF0506">
        <w:tc>
          <w:tcPr>
            <w:tcW w:w="1820" w:type="dxa"/>
          </w:tcPr>
          <w:p w14:paraId="0199CBF2" w14:textId="77777777" w:rsidR="00D84DEF" w:rsidRDefault="00D84DEF" w:rsidP="00750FB1">
            <w:pPr>
              <w:jc w:val="both"/>
            </w:pPr>
            <w:r>
              <w:t xml:space="preserve">Interest rate </w:t>
            </w:r>
          </w:p>
          <w:p w14:paraId="0431B5CB" w14:textId="77777777" w:rsidR="00D84DEF" w:rsidRDefault="00D84DEF" w:rsidP="00750FB1">
            <w:pPr>
              <w:jc w:val="both"/>
            </w:pPr>
          </w:p>
        </w:tc>
        <w:tc>
          <w:tcPr>
            <w:tcW w:w="1742" w:type="dxa"/>
          </w:tcPr>
          <w:p w14:paraId="0217ED0A" w14:textId="77777777" w:rsidR="00D84DEF" w:rsidRDefault="00D84DEF" w:rsidP="00750FB1">
            <w:pPr>
              <w:jc w:val="both"/>
            </w:pPr>
            <w:r>
              <w:t>0%</w:t>
            </w:r>
          </w:p>
        </w:tc>
        <w:tc>
          <w:tcPr>
            <w:tcW w:w="1742" w:type="dxa"/>
          </w:tcPr>
          <w:p w14:paraId="6AED51C2" w14:textId="77777777" w:rsidR="00D84DEF" w:rsidRDefault="00D84DEF" w:rsidP="00750FB1">
            <w:pPr>
              <w:jc w:val="both"/>
            </w:pPr>
            <w:r>
              <w:t>100%</w:t>
            </w:r>
          </w:p>
        </w:tc>
        <w:tc>
          <w:tcPr>
            <w:tcW w:w="1815" w:type="dxa"/>
          </w:tcPr>
          <w:p w14:paraId="2D667817" w14:textId="77777777" w:rsidR="00D84DEF" w:rsidRDefault="00EA6E8D" w:rsidP="00750FB1">
            <w:pPr>
              <w:jc w:val="both"/>
            </w:pPr>
            <w:r>
              <w:t>0-3</w:t>
            </w:r>
            <w:r w:rsidR="0096200E">
              <w:t xml:space="preserve"> months 3-6months, </w:t>
            </w:r>
            <w:r>
              <w:t>6-12m months</w:t>
            </w:r>
            <w:r w:rsidR="0096200E">
              <w:t xml:space="preserve">, </w:t>
            </w:r>
            <w:r w:rsidR="00D759C9">
              <w:t>1 to 2 years, 2-5 years and 5 year blocks</w:t>
            </w:r>
          </w:p>
        </w:tc>
        <w:tc>
          <w:tcPr>
            <w:tcW w:w="1897" w:type="dxa"/>
          </w:tcPr>
          <w:p w14:paraId="4F19E5FE" w14:textId="77777777" w:rsidR="00D84DEF" w:rsidRDefault="00D84DEF" w:rsidP="00750FB1">
            <w:pPr>
              <w:jc w:val="both"/>
            </w:pPr>
            <w:r>
              <w:t xml:space="preserve">FRA, Futures, </w:t>
            </w:r>
            <w:proofErr w:type="spellStart"/>
            <w:r>
              <w:t>Options,Swaps</w:t>
            </w:r>
            <w:proofErr w:type="spellEnd"/>
          </w:p>
          <w:p w14:paraId="2F9920BC" w14:textId="77777777" w:rsidR="00D84DEF" w:rsidRDefault="00D84DEF" w:rsidP="00750FB1">
            <w:pPr>
              <w:jc w:val="both"/>
            </w:pPr>
            <w:proofErr w:type="spellStart"/>
            <w:r>
              <w:t>Swaption</w:t>
            </w:r>
            <w:proofErr w:type="spellEnd"/>
          </w:p>
        </w:tc>
      </w:tr>
      <w:tr w:rsidR="00D84DEF" w14:paraId="1F819C94" w14:textId="77777777" w:rsidTr="00BF0506">
        <w:tc>
          <w:tcPr>
            <w:tcW w:w="1820" w:type="dxa"/>
          </w:tcPr>
          <w:p w14:paraId="58534571" w14:textId="77777777" w:rsidR="00D84DEF" w:rsidRDefault="00D84DEF" w:rsidP="00750FB1">
            <w:pPr>
              <w:jc w:val="both"/>
            </w:pPr>
            <w:r>
              <w:t>Inflation rate</w:t>
            </w:r>
          </w:p>
          <w:p w14:paraId="0D9BEA61" w14:textId="77777777" w:rsidR="00D84DEF" w:rsidRDefault="00D84DEF" w:rsidP="00750FB1">
            <w:pPr>
              <w:jc w:val="both"/>
            </w:pPr>
          </w:p>
        </w:tc>
        <w:tc>
          <w:tcPr>
            <w:tcW w:w="1742" w:type="dxa"/>
          </w:tcPr>
          <w:p w14:paraId="317B350D" w14:textId="77777777" w:rsidR="00D84DEF" w:rsidRDefault="00D84DEF" w:rsidP="00750FB1">
            <w:pPr>
              <w:jc w:val="both"/>
            </w:pPr>
            <w:r>
              <w:t>0%</w:t>
            </w:r>
          </w:p>
        </w:tc>
        <w:tc>
          <w:tcPr>
            <w:tcW w:w="1742" w:type="dxa"/>
          </w:tcPr>
          <w:p w14:paraId="5EAEF4D5" w14:textId="77777777" w:rsidR="00D84DEF" w:rsidRDefault="00D84DEF" w:rsidP="00750FB1">
            <w:pPr>
              <w:jc w:val="both"/>
            </w:pPr>
            <w:r>
              <w:t>100%</w:t>
            </w:r>
          </w:p>
        </w:tc>
        <w:tc>
          <w:tcPr>
            <w:tcW w:w="1815" w:type="dxa"/>
          </w:tcPr>
          <w:p w14:paraId="78F389A9" w14:textId="77777777" w:rsidR="00D84DEF" w:rsidRDefault="00D84DEF" w:rsidP="00750FB1">
            <w:pPr>
              <w:jc w:val="both"/>
            </w:pPr>
            <w:r>
              <w:t>1 block</w:t>
            </w:r>
          </w:p>
        </w:tc>
        <w:tc>
          <w:tcPr>
            <w:tcW w:w="1897" w:type="dxa"/>
          </w:tcPr>
          <w:p w14:paraId="31F50305" w14:textId="77777777" w:rsidR="00D84DEF" w:rsidRDefault="00D84DEF" w:rsidP="00750FB1">
            <w:pPr>
              <w:jc w:val="both"/>
            </w:pPr>
            <w:r>
              <w:t xml:space="preserve">Swap, </w:t>
            </w:r>
            <w:proofErr w:type="spellStart"/>
            <w:r>
              <w:t>Swaption</w:t>
            </w:r>
            <w:proofErr w:type="spellEnd"/>
            <w:r>
              <w:t>, Option</w:t>
            </w:r>
          </w:p>
        </w:tc>
      </w:tr>
    </w:tbl>
    <w:p w14:paraId="4A60915D" w14:textId="77777777" w:rsidR="00AA245E" w:rsidRDefault="00BD7599" w:rsidP="00025990">
      <w:pPr>
        <w:jc w:val="both"/>
      </w:pPr>
      <w:r>
        <w:t xml:space="preserve"> </w:t>
      </w:r>
    </w:p>
    <w:p w14:paraId="75B56E14" w14:textId="492DD1AB" w:rsidR="00D84DEF" w:rsidRDefault="00D84DEF" w:rsidP="00025990">
      <w:pPr>
        <w:jc w:val="both"/>
      </w:pPr>
      <w:r>
        <w:t>In addition hedge accounting will be used to periodically test the effectiveness of the hedge. It is expected the hedge will work with between 80% and 12</w:t>
      </w:r>
      <w:r w:rsidR="00EA6E8D">
        <w:t>5</w:t>
      </w:r>
      <w:r>
        <w:t>% effectiveness</w:t>
      </w:r>
      <w:r w:rsidR="00EA6E8D">
        <w:t xml:space="preserve"> in accordance with International Accounting Standards.</w:t>
      </w:r>
      <w:r>
        <w:t xml:space="preserve"> If the effectiveness is measured as falling outside these parameters, the structure of the hedge</w:t>
      </w:r>
      <w:r w:rsidR="00C85B9C">
        <w:t xml:space="preserve"> will</w:t>
      </w:r>
      <w:r>
        <w:t xml:space="preserve"> be changed in response.</w:t>
      </w:r>
    </w:p>
    <w:p w14:paraId="4C4CF88A" w14:textId="77777777" w:rsidR="00D84DEF" w:rsidRDefault="00D84DEF" w:rsidP="00025990">
      <w:pPr>
        <w:jc w:val="both"/>
      </w:pPr>
    </w:p>
    <w:p w14:paraId="3FE7A8F7" w14:textId="77777777" w:rsidR="00D84DEF" w:rsidRDefault="00D84DEF" w:rsidP="00025990">
      <w:pPr>
        <w:jc w:val="both"/>
      </w:pPr>
      <w:r>
        <w:t xml:space="preserve">The calculation method of interest rate risk to be hedged and hedge effectiveness will be set out in the Treasury Management Practices document. </w:t>
      </w:r>
    </w:p>
    <w:p w14:paraId="3549D59C" w14:textId="77777777" w:rsidR="00AA245E" w:rsidRDefault="00AA245E" w:rsidP="00025990">
      <w:pPr>
        <w:jc w:val="both"/>
      </w:pPr>
    </w:p>
    <w:p w14:paraId="6C949F41" w14:textId="7A0A60F4" w:rsidR="00A036BF" w:rsidRPr="002A48EA" w:rsidRDefault="00A036BF" w:rsidP="00025990">
      <w:pPr>
        <w:jc w:val="both"/>
      </w:pPr>
      <w:r w:rsidRPr="002A48EA">
        <w:t xml:space="preserve">At all times the </w:t>
      </w:r>
      <w:r w:rsidR="00F63785">
        <w:t>C</w:t>
      </w:r>
      <w:r w:rsidR="00F25AD0">
        <w:t xml:space="preserve">ounty </w:t>
      </w:r>
      <w:r w:rsidR="00F63785">
        <w:t>C</w:t>
      </w:r>
      <w:r w:rsidR="00F25AD0">
        <w:t>ouncil</w:t>
      </w:r>
      <w:r w:rsidRPr="002A48EA">
        <w:t xml:space="preserve"> will comply with C</w:t>
      </w:r>
      <w:r w:rsidR="00186E6A">
        <w:t>IPFA</w:t>
      </w:r>
      <w:r w:rsidRPr="002A48EA">
        <w:t xml:space="preserve"> advice and guidance on the use of financial derivatives and have regard to</w:t>
      </w:r>
      <w:r w:rsidR="002A48EA" w:rsidRPr="002A48EA">
        <w:t xml:space="preserve"> </w:t>
      </w:r>
      <w:r w:rsidRPr="002A48EA">
        <w:t>C</w:t>
      </w:r>
      <w:r w:rsidR="00186E6A">
        <w:t>IPFA</w:t>
      </w:r>
      <w:r w:rsidRPr="002A48EA">
        <w:t xml:space="preserve"> publication</w:t>
      </w:r>
      <w:r w:rsidR="002A48EA" w:rsidRPr="002A48EA">
        <w:t>s on risk management.</w:t>
      </w:r>
      <w:r w:rsidRPr="002A48EA">
        <w:t xml:space="preserve"> </w:t>
      </w:r>
      <w:r w:rsidR="00186F66">
        <w:t xml:space="preserve">However the </w:t>
      </w:r>
      <w:r w:rsidR="00A23B82">
        <w:t xml:space="preserve">County Council </w:t>
      </w:r>
      <w:r w:rsidR="00606948">
        <w:t xml:space="preserve">may need to </w:t>
      </w:r>
      <w:r w:rsidR="00A23B82">
        <w:t xml:space="preserve">seek its own legal advice as to the legality of the use of derivatives for risk management purposes. </w:t>
      </w:r>
    </w:p>
    <w:p w14:paraId="6CD00C43" w14:textId="77777777" w:rsidR="00362860" w:rsidRPr="001143BB" w:rsidRDefault="00362860" w:rsidP="00025990">
      <w:pPr>
        <w:rPr>
          <w:highlight w:val="yellow"/>
        </w:rPr>
      </w:pPr>
    </w:p>
    <w:p w14:paraId="0473474D" w14:textId="77777777" w:rsidR="00574AC0" w:rsidRPr="006B5382" w:rsidRDefault="00574AC0" w:rsidP="006B5382">
      <w:pPr>
        <w:pStyle w:val="ListParagraph"/>
        <w:numPr>
          <w:ilvl w:val="0"/>
          <w:numId w:val="36"/>
        </w:numPr>
        <w:spacing w:after="240"/>
        <w:rPr>
          <w:sz w:val="28"/>
          <w:szCs w:val="28"/>
        </w:rPr>
      </w:pPr>
      <w:r w:rsidRPr="006B5382">
        <w:rPr>
          <w:b/>
          <w:bCs/>
          <w:sz w:val="28"/>
          <w:szCs w:val="28"/>
        </w:rPr>
        <w:t>Performance</w:t>
      </w:r>
      <w:r w:rsidRPr="006B5382">
        <w:rPr>
          <w:sz w:val="28"/>
          <w:szCs w:val="28"/>
        </w:rPr>
        <w:t xml:space="preserve"> </w:t>
      </w:r>
      <w:r w:rsidRPr="006B5382">
        <w:rPr>
          <w:b/>
          <w:sz w:val="28"/>
          <w:szCs w:val="28"/>
        </w:rPr>
        <w:t>Measurement</w:t>
      </w:r>
    </w:p>
    <w:p w14:paraId="55830A3F" w14:textId="77777777" w:rsidR="0040630B" w:rsidRPr="00A036BF" w:rsidRDefault="0040630B" w:rsidP="00025990">
      <w:pPr>
        <w:jc w:val="both"/>
      </w:pPr>
      <w:r w:rsidRPr="00A036BF">
        <w:t>With base rates at exceptionally low levels, investment returns are likely to continue to be far lower than has been the case in recent years. However, in the knowledge that a portion of cash invested will not be required in the short term</w:t>
      </w:r>
      <w:r w:rsidR="00FC522C">
        <w:t>;</w:t>
      </w:r>
      <w:r w:rsidRPr="00A036BF">
        <w:t xml:space="preserve"> and to protect against continued low investment rates</w:t>
      </w:r>
      <w:r w:rsidR="00FC522C">
        <w:t>;</w:t>
      </w:r>
      <w:r w:rsidRPr="00A036BF">
        <w:t xml:space="preserve"> investments may be made for longer time periods, depending on cash flow considerations and the prevailing market conditions. </w:t>
      </w:r>
    </w:p>
    <w:p w14:paraId="1F2CF259" w14:textId="77777777" w:rsidR="0040630B" w:rsidRPr="00A036BF" w:rsidRDefault="0040630B" w:rsidP="00025990">
      <w:pPr>
        <w:jc w:val="both"/>
      </w:pPr>
      <w:r w:rsidRPr="00A036BF">
        <w:t>The performance target on investments is a return above the average rate for 7 day notice money</w:t>
      </w:r>
      <w:r w:rsidR="006B61C7" w:rsidRPr="00A036BF">
        <w:t>.</w:t>
      </w:r>
    </w:p>
    <w:p w14:paraId="7C9F8138" w14:textId="77777777" w:rsidR="00DC7850" w:rsidRDefault="00DC7850" w:rsidP="005F7FAC">
      <w:pPr>
        <w:jc w:val="both"/>
        <w:rPr>
          <w:b/>
          <w:sz w:val="28"/>
          <w:szCs w:val="28"/>
        </w:rPr>
      </w:pPr>
    </w:p>
    <w:p w14:paraId="0E2D4F30" w14:textId="77777777" w:rsidR="00A1775A" w:rsidRPr="00351C7D" w:rsidRDefault="005B0CCB" w:rsidP="00F861B8">
      <w:pPr>
        <w:pStyle w:val="ListParagraph"/>
        <w:numPr>
          <w:ilvl w:val="0"/>
          <w:numId w:val="36"/>
        </w:numPr>
        <w:jc w:val="both"/>
        <w:rPr>
          <w:b/>
          <w:sz w:val="28"/>
          <w:szCs w:val="28"/>
        </w:rPr>
      </w:pPr>
      <w:r w:rsidRPr="00F861B8">
        <w:rPr>
          <w:b/>
          <w:sz w:val="28"/>
          <w:szCs w:val="28"/>
        </w:rPr>
        <w:t xml:space="preserve"> </w:t>
      </w:r>
      <w:r w:rsidR="006B61C7" w:rsidRPr="00351C7D">
        <w:rPr>
          <w:b/>
          <w:sz w:val="28"/>
          <w:szCs w:val="28"/>
        </w:rPr>
        <w:t xml:space="preserve">Impact on the </w:t>
      </w:r>
      <w:r w:rsidR="00F25AD0" w:rsidRPr="00351C7D">
        <w:rPr>
          <w:b/>
          <w:sz w:val="28"/>
          <w:szCs w:val="28"/>
        </w:rPr>
        <w:t xml:space="preserve">County </w:t>
      </w:r>
      <w:r w:rsidR="00275D6A" w:rsidRPr="00351C7D">
        <w:rPr>
          <w:b/>
          <w:sz w:val="28"/>
          <w:szCs w:val="28"/>
        </w:rPr>
        <w:t>C</w:t>
      </w:r>
      <w:r w:rsidR="00F25AD0" w:rsidRPr="00351C7D">
        <w:rPr>
          <w:b/>
          <w:sz w:val="28"/>
          <w:szCs w:val="28"/>
        </w:rPr>
        <w:t>ouncil</w:t>
      </w:r>
      <w:r w:rsidR="006B61C7" w:rsidRPr="00351C7D">
        <w:rPr>
          <w:b/>
          <w:sz w:val="28"/>
          <w:szCs w:val="28"/>
        </w:rPr>
        <w:t xml:space="preserve">'s </w:t>
      </w:r>
      <w:r w:rsidR="00F92044" w:rsidRPr="00351C7D">
        <w:rPr>
          <w:b/>
          <w:sz w:val="28"/>
          <w:szCs w:val="28"/>
        </w:rPr>
        <w:t>Revenue Budget</w:t>
      </w:r>
      <w:r w:rsidR="00A1775A" w:rsidRPr="00351C7D">
        <w:rPr>
          <w:b/>
          <w:sz w:val="28"/>
          <w:szCs w:val="28"/>
        </w:rPr>
        <w:t xml:space="preserve"> </w:t>
      </w:r>
    </w:p>
    <w:p w14:paraId="7B439211" w14:textId="77777777" w:rsidR="00F92044" w:rsidRPr="00351C7D" w:rsidRDefault="00F92044" w:rsidP="005F7FAC">
      <w:pPr>
        <w:jc w:val="both"/>
      </w:pPr>
    </w:p>
    <w:p w14:paraId="6A4787C4" w14:textId="6FFEBDF5" w:rsidR="00040C37" w:rsidRDefault="00F06120" w:rsidP="00040C37">
      <w:pPr>
        <w:jc w:val="both"/>
      </w:pPr>
      <w:r w:rsidRPr="00351C7D">
        <w:t>The</w:t>
      </w:r>
      <w:r w:rsidR="00275D6A" w:rsidRPr="00351C7D">
        <w:t xml:space="preserve"> table below outlines</w:t>
      </w:r>
      <w:r w:rsidRPr="00351C7D">
        <w:t xml:space="preserve"> </w:t>
      </w:r>
      <w:r w:rsidR="00275D6A" w:rsidRPr="00351C7D">
        <w:t xml:space="preserve">the </w:t>
      </w:r>
      <w:r w:rsidRPr="00351C7D">
        <w:t>budget for</w:t>
      </w:r>
      <w:r w:rsidR="00275D6A" w:rsidRPr="00351C7D">
        <w:t xml:space="preserve"> the </w:t>
      </w:r>
      <w:r w:rsidRPr="00351C7D">
        <w:t>financing charges</w:t>
      </w:r>
      <w:r w:rsidR="00275D6A" w:rsidRPr="00351C7D">
        <w:t xml:space="preserve"> element of the </w:t>
      </w:r>
      <w:r w:rsidR="00481E94" w:rsidRPr="00351C7D">
        <w:t xml:space="preserve">Council's </w:t>
      </w:r>
      <w:r w:rsidR="00275D6A" w:rsidRPr="00351C7D">
        <w:t>revenue budget</w:t>
      </w:r>
      <w:r w:rsidR="00E83AEB">
        <w:t xml:space="preserve"> as reflected in the Medium Term Financial Strategy</w:t>
      </w:r>
      <w:r w:rsidR="00275D6A" w:rsidRPr="00351C7D">
        <w:t xml:space="preserve">. </w:t>
      </w:r>
      <w:r w:rsidR="003F1495">
        <w:t xml:space="preserve"> This </w:t>
      </w:r>
      <w:r w:rsidR="009940B4">
        <w:t>is based on the</w:t>
      </w:r>
      <w:r w:rsidR="00E83AEB">
        <w:t xml:space="preserve"> proposed</w:t>
      </w:r>
      <w:r w:rsidR="003F1495">
        <w:t xml:space="preserve"> Minimum Revenue Provision </w:t>
      </w:r>
      <w:r w:rsidR="009940B4">
        <w:t xml:space="preserve">policy set out in </w:t>
      </w:r>
      <w:r w:rsidR="00E83AEB">
        <w:t>A</w:t>
      </w:r>
      <w:r w:rsidR="009940B4">
        <w:t xml:space="preserve">ppendix </w:t>
      </w:r>
      <w:r w:rsidR="00186F66">
        <w:t>'</w:t>
      </w:r>
      <w:r w:rsidR="009940B4">
        <w:t>C</w:t>
      </w:r>
      <w:r w:rsidR="00186F66">
        <w:t>'</w:t>
      </w:r>
      <w:r w:rsidR="001E7253">
        <w:t>.</w:t>
      </w:r>
      <w:r w:rsidR="001170B5" w:rsidRPr="001170B5">
        <w:t xml:space="preserve"> </w:t>
      </w:r>
    </w:p>
    <w:p w14:paraId="3316360C" w14:textId="77777777" w:rsidR="00EF6926" w:rsidRDefault="00EF6926" w:rsidP="00040C37">
      <w:pPr>
        <w:jc w:val="both"/>
      </w:pPr>
    </w:p>
    <w:p w14:paraId="76242DB8" w14:textId="77777777" w:rsidR="00EF6926" w:rsidRDefault="00EF6926" w:rsidP="00040C37">
      <w:pPr>
        <w:jc w:val="both"/>
      </w:pPr>
    </w:p>
    <w:p w14:paraId="55305221" w14:textId="77777777" w:rsidR="00BF0ED2" w:rsidRDefault="00BF0ED2" w:rsidP="00040C37">
      <w:pPr>
        <w:jc w:val="both"/>
      </w:pPr>
    </w:p>
    <w:p w14:paraId="1ACA5B90" w14:textId="77777777" w:rsidR="00186F66" w:rsidRDefault="00186F66" w:rsidP="00040C37">
      <w:pPr>
        <w:jc w:val="both"/>
      </w:pPr>
    </w:p>
    <w:p w14:paraId="60276B04" w14:textId="77777777" w:rsidR="00186F66" w:rsidRDefault="00186F66" w:rsidP="00040C37">
      <w:pPr>
        <w:jc w:val="both"/>
      </w:pPr>
    </w:p>
    <w:p w14:paraId="39CB935B" w14:textId="77777777" w:rsidR="00C70130" w:rsidRDefault="00C70130" w:rsidP="00040C37">
      <w:pPr>
        <w:jc w:val="both"/>
      </w:pPr>
    </w:p>
    <w:p w14:paraId="51E0DBF4" w14:textId="0638528F" w:rsidR="00FB2064" w:rsidRDefault="00EF6926" w:rsidP="00040C37">
      <w:pPr>
        <w:jc w:val="both"/>
      </w:pPr>
      <w:r>
        <w:t>Table 9: Treasury Management Medium Term Financial Strategy</w:t>
      </w:r>
    </w:p>
    <w:p w14:paraId="64FAD0FF" w14:textId="77777777" w:rsidR="00EF6926" w:rsidRPr="00351C7D" w:rsidRDefault="00EF6926" w:rsidP="00040C37">
      <w:pPr>
        <w:jc w:val="both"/>
      </w:pPr>
    </w:p>
    <w:tbl>
      <w:tblPr>
        <w:tblW w:w="10201" w:type="dxa"/>
        <w:tblLook w:val="04A0" w:firstRow="1" w:lastRow="0" w:firstColumn="1" w:lastColumn="0" w:noHBand="0" w:noVBand="1"/>
      </w:tblPr>
      <w:tblGrid>
        <w:gridCol w:w="2830"/>
        <w:gridCol w:w="1843"/>
        <w:gridCol w:w="1843"/>
        <w:gridCol w:w="1884"/>
        <w:gridCol w:w="1801"/>
      </w:tblGrid>
      <w:tr w:rsidR="000C3158" w:rsidRPr="00351C7D" w14:paraId="1BDA9956" w14:textId="77777777" w:rsidTr="00F861B8">
        <w:trPr>
          <w:trHeight w:val="285"/>
        </w:trPr>
        <w:tc>
          <w:tcPr>
            <w:tcW w:w="2830" w:type="dxa"/>
            <w:tcBorders>
              <w:top w:val="single" w:sz="4" w:space="0" w:color="auto"/>
              <w:left w:val="single" w:sz="4" w:space="0" w:color="auto"/>
              <w:bottom w:val="nil"/>
              <w:right w:val="nil"/>
            </w:tcBorders>
            <w:shd w:val="clear" w:color="000000" w:fill="FFFFFF"/>
            <w:noWrap/>
            <w:vAlign w:val="bottom"/>
            <w:hideMark/>
          </w:tcPr>
          <w:p w14:paraId="3A630DF0" w14:textId="77777777" w:rsidR="000C3158" w:rsidRPr="00351C7D" w:rsidRDefault="000C3158" w:rsidP="000C3158">
            <w:pPr>
              <w:rPr>
                <w:sz w:val="20"/>
                <w:szCs w:val="20"/>
              </w:rPr>
            </w:pPr>
            <w:r w:rsidRPr="00351C7D">
              <w:rPr>
                <w:sz w:val="20"/>
                <w:szCs w:val="20"/>
              </w:rPr>
              <w:t> </w:t>
            </w:r>
          </w:p>
        </w:tc>
        <w:tc>
          <w:tcPr>
            <w:tcW w:w="1843" w:type="dxa"/>
            <w:tcBorders>
              <w:top w:val="single" w:sz="4" w:space="0" w:color="auto"/>
              <w:left w:val="single" w:sz="4" w:space="0" w:color="auto"/>
              <w:bottom w:val="nil"/>
              <w:right w:val="single" w:sz="4" w:space="0" w:color="auto"/>
            </w:tcBorders>
            <w:shd w:val="clear" w:color="000000" w:fill="FFFFFF"/>
            <w:noWrap/>
            <w:vAlign w:val="bottom"/>
            <w:hideMark/>
          </w:tcPr>
          <w:p w14:paraId="051A720E" w14:textId="77777777" w:rsidR="000C3158" w:rsidRPr="00351C7D" w:rsidRDefault="000C3158" w:rsidP="000C3158">
            <w:pPr>
              <w:rPr>
                <w:sz w:val="20"/>
                <w:szCs w:val="20"/>
              </w:rPr>
            </w:pPr>
            <w:r w:rsidRPr="00351C7D">
              <w:rPr>
                <w:sz w:val="20"/>
                <w:szCs w:val="20"/>
              </w:rPr>
              <w:t>Revenue Budget</w:t>
            </w:r>
          </w:p>
        </w:tc>
        <w:tc>
          <w:tcPr>
            <w:tcW w:w="1843" w:type="dxa"/>
            <w:tcBorders>
              <w:top w:val="single" w:sz="4" w:space="0" w:color="auto"/>
              <w:left w:val="nil"/>
              <w:bottom w:val="nil"/>
              <w:right w:val="single" w:sz="4" w:space="0" w:color="auto"/>
            </w:tcBorders>
            <w:shd w:val="clear" w:color="000000" w:fill="FFFFFF"/>
            <w:noWrap/>
            <w:vAlign w:val="bottom"/>
            <w:hideMark/>
          </w:tcPr>
          <w:p w14:paraId="62962999" w14:textId="77777777" w:rsidR="000C3158" w:rsidRPr="00351C7D" w:rsidRDefault="000C3158" w:rsidP="000C3158">
            <w:pPr>
              <w:rPr>
                <w:sz w:val="20"/>
                <w:szCs w:val="20"/>
              </w:rPr>
            </w:pPr>
            <w:r w:rsidRPr="00351C7D">
              <w:rPr>
                <w:sz w:val="20"/>
                <w:szCs w:val="20"/>
              </w:rPr>
              <w:t>Revenue Budget</w:t>
            </w:r>
          </w:p>
        </w:tc>
        <w:tc>
          <w:tcPr>
            <w:tcW w:w="1884" w:type="dxa"/>
            <w:tcBorders>
              <w:top w:val="single" w:sz="4" w:space="0" w:color="auto"/>
              <w:left w:val="nil"/>
              <w:bottom w:val="nil"/>
              <w:right w:val="single" w:sz="4" w:space="0" w:color="auto"/>
            </w:tcBorders>
            <w:shd w:val="clear" w:color="000000" w:fill="FFFFFF"/>
            <w:noWrap/>
            <w:vAlign w:val="bottom"/>
            <w:hideMark/>
          </w:tcPr>
          <w:p w14:paraId="35C6BA5C" w14:textId="77777777" w:rsidR="000C3158" w:rsidRPr="00351C7D" w:rsidRDefault="000C3158" w:rsidP="000C3158">
            <w:pPr>
              <w:rPr>
                <w:sz w:val="20"/>
                <w:szCs w:val="20"/>
              </w:rPr>
            </w:pPr>
            <w:r w:rsidRPr="00351C7D">
              <w:rPr>
                <w:sz w:val="20"/>
                <w:szCs w:val="20"/>
              </w:rPr>
              <w:t>Revenue Budget</w:t>
            </w:r>
          </w:p>
        </w:tc>
        <w:tc>
          <w:tcPr>
            <w:tcW w:w="1801" w:type="dxa"/>
            <w:tcBorders>
              <w:top w:val="single" w:sz="4" w:space="0" w:color="auto"/>
              <w:left w:val="nil"/>
              <w:bottom w:val="nil"/>
              <w:right w:val="single" w:sz="4" w:space="0" w:color="auto"/>
            </w:tcBorders>
            <w:shd w:val="clear" w:color="000000" w:fill="FFFFFF"/>
            <w:noWrap/>
            <w:vAlign w:val="bottom"/>
            <w:hideMark/>
          </w:tcPr>
          <w:p w14:paraId="23E824DB" w14:textId="77777777" w:rsidR="000C3158" w:rsidRPr="00351C7D" w:rsidRDefault="000C3158" w:rsidP="000C3158">
            <w:pPr>
              <w:rPr>
                <w:sz w:val="20"/>
                <w:szCs w:val="20"/>
              </w:rPr>
            </w:pPr>
            <w:r w:rsidRPr="00351C7D">
              <w:rPr>
                <w:sz w:val="20"/>
                <w:szCs w:val="20"/>
              </w:rPr>
              <w:t>Revenue Budget</w:t>
            </w:r>
          </w:p>
        </w:tc>
      </w:tr>
      <w:tr w:rsidR="000C3158" w:rsidRPr="00351C7D" w14:paraId="1A834ABF" w14:textId="77777777" w:rsidTr="00F861B8">
        <w:trPr>
          <w:trHeight w:val="285"/>
        </w:trPr>
        <w:tc>
          <w:tcPr>
            <w:tcW w:w="2830" w:type="dxa"/>
            <w:tcBorders>
              <w:top w:val="nil"/>
              <w:left w:val="single" w:sz="4" w:space="0" w:color="auto"/>
              <w:bottom w:val="nil"/>
              <w:right w:val="nil"/>
            </w:tcBorders>
            <w:shd w:val="clear" w:color="000000" w:fill="FFFFFF"/>
            <w:noWrap/>
            <w:vAlign w:val="bottom"/>
            <w:hideMark/>
          </w:tcPr>
          <w:p w14:paraId="2C393F6D"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14:paraId="2B430181" w14:textId="77777777" w:rsidR="000C3158" w:rsidRPr="00351C7D" w:rsidRDefault="000C3158" w:rsidP="009940B4">
            <w:pPr>
              <w:jc w:val="center"/>
              <w:rPr>
                <w:sz w:val="20"/>
                <w:szCs w:val="20"/>
              </w:rPr>
            </w:pPr>
            <w:r w:rsidRPr="00351C7D">
              <w:rPr>
                <w:sz w:val="20"/>
                <w:szCs w:val="20"/>
              </w:rPr>
              <w:t>201</w:t>
            </w:r>
            <w:r w:rsidR="009940B4">
              <w:rPr>
                <w:sz w:val="20"/>
                <w:szCs w:val="20"/>
              </w:rPr>
              <w:t>6</w:t>
            </w:r>
            <w:r w:rsidRPr="00351C7D">
              <w:rPr>
                <w:sz w:val="20"/>
                <w:szCs w:val="20"/>
              </w:rPr>
              <w:t>/1</w:t>
            </w:r>
            <w:r w:rsidR="009940B4">
              <w:rPr>
                <w:sz w:val="20"/>
                <w:szCs w:val="20"/>
              </w:rPr>
              <w:t>7</w:t>
            </w:r>
          </w:p>
        </w:tc>
        <w:tc>
          <w:tcPr>
            <w:tcW w:w="1843" w:type="dxa"/>
            <w:tcBorders>
              <w:top w:val="nil"/>
              <w:left w:val="nil"/>
              <w:bottom w:val="nil"/>
              <w:right w:val="single" w:sz="4" w:space="0" w:color="auto"/>
            </w:tcBorders>
            <w:shd w:val="clear" w:color="000000" w:fill="FFFFFF"/>
            <w:noWrap/>
            <w:vAlign w:val="bottom"/>
            <w:hideMark/>
          </w:tcPr>
          <w:p w14:paraId="449D8196" w14:textId="77777777" w:rsidR="000C3158" w:rsidRPr="00351C7D" w:rsidRDefault="000C3158" w:rsidP="009940B4">
            <w:pPr>
              <w:jc w:val="center"/>
              <w:rPr>
                <w:sz w:val="20"/>
                <w:szCs w:val="20"/>
              </w:rPr>
            </w:pPr>
            <w:r w:rsidRPr="00351C7D">
              <w:rPr>
                <w:sz w:val="20"/>
                <w:szCs w:val="20"/>
              </w:rPr>
              <w:t>201</w:t>
            </w:r>
            <w:r w:rsidR="009940B4">
              <w:rPr>
                <w:sz w:val="20"/>
                <w:szCs w:val="20"/>
              </w:rPr>
              <w:t>7</w:t>
            </w:r>
            <w:r w:rsidRPr="00351C7D">
              <w:rPr>
                <w:sz w:val="20"/>
                <w:szCs w:val="20"/>
              </w:rPr>
              <w:t>/1</w:t>
            </w:r>
            <w:r w:rsidR="009940B4">
              <w:rPr>
                <w:sz w:val="20"/>
                <w:szCs w:val="20"/>
              </w:rPr>
              <w:t>8</w:t>
            </w:r>
          </w:p>
        </w:tc>
        <w:tc>
          <w:tcPr>
            <w:tcW w:w="1884" w:type="dxa"/>
            <w:tcBorders>
              <w:top w:val="nil"/>
              <w:left w:val="nil"/>
              <w:bottom w:val="nil"/>
              <w:right w:val="single" w:sz="4" w:space="0" w:color="auto"/>
            </w:tcBorders>
            <w:shd w:val="clear" w:color="000000" w:fill="FFFFFF"/>
            <w:noWrap/>
            <w:vAlign w:val="bottom"/>
            <w:hideMark/>
          </w:tcPr>
          <w:p w14:paraId="69813B85" w14:textId="77777777" w:rsidR="000C3158" w:rsidRPr="00351C7D" w:rsidRDefault="000C3158" w:rsidP="009940B4">
            <w:pPr>
              <w:jc w:val="center"/>
              <w:rPr>
                <w:sz w:val="20"/>
                <w:szCs w:val="20"/>
              </w:rPr>
            </w:pPr>
            <w:r w:rsidRPr="00351C7D">
              <w:rPr>
                <w:sz w:val="20"/>
                <w:szCs w:val="20"/>
              </w:rPr>
              <w:t>201</w:t>
            </w:r>
            <w:r w:rsidR="009940B4">
              <w:rPr>
                <w:sz w:val="20"/>
                <w:szCs w:val="20"/>
              </w:rPr>
              <w:t>8</w:t>
            </w:r>
            <w:r w:rsidRPr="00351C7D">
              <w:rPr>
                <w:sz w:val="20"/>
                <w:szCs w:val="20"/>
              </w:rPr>
              <w:t>/1</w:t>
            </w:r>
            <w:r w:rsidR="009940B4">
              <w:rPr>
                <w:sz w:val="20"/>
                <w:szCs w:val="20"/>
              </w:rPr>
              <w:t>9</w:t>
            </w:r>
          </w:p>
        </w:tc>
        <w:tc>
          <w:tcPr>
            <w:tcW w:w="1801" w:type="dxa"/>
            <w:tcBorders>
              <w:top w:val="nil"/>
              <w:left w:val="nil"/>
              <w:bottom w:val="nil"/>
              <w:right w:val="single" w:sz="4" w:space="0" w:color="auto"/>
            </w:tcBorders>
            <w:shd w:val="clear" w:color="000000" w:fill="FFFFFF"/>
            <w:noWrap/>
            <w:vAlign w:val="bottom"/>
            <w:hideMark/>
          </w:tcPr>
          <w:p w14:paraId="1DD549F7" w14:textId="77777777" w:rsidR="000C3158" w:rsidRPr="00351C7D" w:rsidRDefault="000C3158" w:rsidP="009940B4">
            <w:pPr>
              <w:jc w:val="center"/>
              <w:rPr>
                <w:sz w:val="20"/>
                <w:szCs w:val="20"/>
              </w:rPr>
            </w:pPr>
            <w:r w:rsidRPr="00351C7D">
              <w:rPr>
                <w:sz w:val="20"/>
                <w:szCs w:val="20"/>
              </w:rPr>
              <w:t>201</w:t>
            </w:r>
            <w:r w:rsidR="009940B4">
              <w:rPr>
                <w:sz w:val="20"/>
                <w:szCs w:val="20"/>
              </w:rPr>
              <w:t>9</w:t>
            </w:r>
            <w:r w:rsidRPr="00351C7D">
              <w:rPr>
                <w:sz w:val="20"/>
                <w:szCs w:val="20"/>
              </w:rPr>
              <w:t>/</w:t>
            </w:r>
            <w:r w:rsidR="009940B4">
              <w:rPr>
                <w:sz w:val="20"/>
                <w:szCs w:val="20"/>
              </w:rPr>
              <w:t>20</w:t>
            </w:r>
          </w:p>
        </w:tc>
      </w:tr>
      <w:tr w:rsidR="000C3158" w:rsidRPr="00351C7D" w14:paraId="2CD47742" w14:textId="77777777" w:rsidTr="00F861B8">
        <w:trPr>
          <w:trHeight w:val="285"/>
        </w:trPr>
        <w:tc>
          <w:tcPr>
            <w:tcW w:w="2830" w:type="dxa"/>
            <w:tcBorders>
              <w:top w:val="nil"/>
              <w:left w:val="single" w:sz="4" w:space="0" w:color="auto"/>
              <w:bottom w:val="single" w:sz="4" w:space="0" w:color="auto"/>
              <w:right w:val="nil"/>
            </w:tcBorders>
            <w:shd w:val="clear" w:color="000000" w:fill="FFFFFF"/>
            <w:noWrap/>
            <w:vAlign w:val="bottom"/>
            <w:hideMark/>
          </w:tcPr>
          <w:p w14:paraId="39D735D6"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10393247" w14:textId="77777777" w:rsidR="000C3158" w:rsidRPr="00351C7D" w:rsidRDefault="000C3158" w:rsidP="000C3158">
            <w:pPr>
              <w:jc w:val="center"/>
              <w:rPr>
                <w:sz w:val="20"/>
                <w:szCs w:val="20"/>
              </w:rPr>
            </w:pPr>
            <w:r w:rsidRPr="00351C7D">
              <w:rPr>
                <w:sz w:val="20"/>
                <w:szCs w:val="20"/>
              </w:rPr>
              <w:t>£m</w:t>
            </w:r>
          </w:p>
        </w:tc>
        <w:tc>
          <w:tcPr>
            <w:tcW w:w="1843" w:type="dxa"/>
            <w:tcBorders>
              <w:top w:val="nil"/>
              <w:left w:val="nil"/>
              <w:bottom w:val="single" w:sz="4" w:space="0" w:color="auto"/>
              <w:right w:val="single" w:sz="4" w:space="0" w:color="auto"/>
            </w:tcBorders>
            <w:shd w:val="clear" w:color="000000" w:fill="FFFFFF"/>
            <w:noWrap/>
            <w:vAlign w:val="bottom"/>
            <w:hideMark/>
          </w:tcPr>
          <w:p w14:paraId="7D4A97F8" w14:textId="77777777" w:rsidR="000C3158" w:rsidRPr="00351C7D" w:rsidRDefault="000C3158" w:rsidP="000C3158">
            <w:pPr>
              <w:jc w:val="center"/>
              <w:rPr>
                <w:sz w:val="20"/>
                <w:szCs w:val="20"/>
              </w:rPr>
            </w:pPr>
            <w:r w:rsidRPr="00351C7D">
              <w:rPr>
                <w:sz w:val="20"/>
                <w:szCs w:val="20"/>
              </w:rPr>
              <w:t>£m</w:t>
            </w:r>
          </w:p>
        </w:tc>
        <w:tc>
          <w:tcPr>
            <w:tcW w:w="1884" w:type="dxa"/>
            <w:tcBorders>
              <w:top w:val="nil"/>
              <w:left w:val="nil"/>
              <w:bottom w:val="single" w:sz="4" w:space="0" w:color="auto"/>
              <w:right w:val="single" w:sz="4" w:space="0" w:color="auto"/>
            </w:tcBorders>
            <w:shd w:val="clear" w:color="000000" w:fill="FFFFFF"/>
            <w:noWrap/>
            <w:vAlign w:val="bottom"/>
            <w:hideMark/>
          </w:tcPr>
          <w:p w14:paraId="31B4FE8E" w14:textId="77777777" w:rsidR="000C3158" w:rsidRPr="00351C7D" w:rsidRDefault="000C3158" w:rsidP="000C3158">
            <w:pPr>
              <w:jc w:val="center"/>
              <w:rPr>
                <w:sz w:val="20"/>
                <w:szCs w:val="20"/>
              </w:rPr>
            </w:pPr>
            <w:r w:rsidRPr="00351C7D">
              <w:rPr>
                <w:sz w:val="20"/>
                <w:szCs w:val="20"/>
              </w:rPr>
              <w:t>£m</w:t>
            </w:r>
          </w:p>
        </w:tc>
        <w:tc>
          <w:tcPr>
            <w:tcW w:w="1801" w:type="dxa"/>
            <w:tcBorders>
              <w:top w:val="nil"/>
              <w:left w:val="nil"/>
              <w:bottom w:val="single" w:sz="4" w:space="0" w:color="auto"/>
              <w:right w:val="single" w:sz="4" w:space="0" w:color="auto"/>
            </w:tcBorders>
            <w:shd w:val="clear" w:color="000000" w:fill="FFFFFF"/>
            <w:noWrap/>
            <w:vAlign w:val="bottom"/>
            <w:hideMark/>
          </w:tcPr>
          <w:p w14:paraId="07965200" w14:textId="77777777" w:rsidR="000C3158" w:rsidRPr="00351C7D" w:rsidRDefault="000C3158" w:rsidP="000C3158">
            <w:pPr>
              <w:jc w:val="center"/>
              <w:rPr>
                <w:sz w:val="20"/>
                <w:szCs w:val="20"/>
              </w:rPr>
            </w:pPr>
            <w:r w:rsidRPr="00351C7D">
              <w:rPr>
                <w:sz w:val="20"/>
                <w:szCs w:val="20"/>
              </w:rPr>
              <w:t>£m</w:t>
            </w:r>
          </w:p>
        </w:tc>
      </w:tr>
      <w:tr w:rsidR="000C3158" w:rsidRPr="00351C7D" w14:paraId="39C6BCD2" w14:textId="77777777" w:rsidTr="00F861B8">
        <w:trPr>
          <w:trHeight w:val="285"/>
        </w:trPr>
        <w:tc>
          <w:tcPr>
            <w:tcW w:w="2830" w:type="dxa"/>
            <w:tcBorders>
              <w:top w:val="nil"/>
              <w:left w:val="single" w:sz="4" w:space="0" w:color="auto"/>
              <w:bottom w:val="nil"/>
              <w:right w:val="nil"/>
            </w:tcBorders>
            <w:shd w:val="clear" w:color="000000" w:fill="FFFFFF"/>
            <w:noWrap/>
            <w:vAlign w:val="bottom"/>
            <w:hideMark/>
          </w:tcPr>
          <w:p w14:paraId="6DEFEDB9"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14:paraId="287FCEBD"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14:paraId="4A2AFE4E" w14:textId="77777777" w:rsidR="000C3158" w:rsidRPr="00351C7D" w:rsidRDefault="000C3158" w:rsidP="000C3158">
            <w:pPr>
              <w:jc w:val="center"/>
              <w:rPr>
                <w:sz w:val="20"/>
                <w:szCs w:val="20"/>
              </w:rPr>
            </w:pPr>
            <w:r w:rsidRPr="00351C7D">
              <w:rPr>
                <w:sz w:val="20"/>
                <w:szCs w:val="20"/>
              </w:rPr>
              <w:t> </w:t>
            </w:r>
          </w:p>
        </w:tc>
        <w:tc>
          <w:tcPr>
            <w:tcW w:w="1884" w:type="dxa"/>
            <w:tcBorders>
              <w:top w:val="nil"/>
              <w:left w:val="nil"/>
              <w:bottom w:val="nil"/>
              <w:right w:val="single" w:sz="4" w:space="0" w:color="auto"/>
            </w:tcBorders>
            <w:shd w:val="clear" w:color="000000" w:fill="FFFFFF"/>
            <w:noWrap/>
            <w:vAlign w:val="bottom"/>
            <w:hideMark/>
          </w:tcPr>
          <w:p w14:paraId="6E6AC169" w14:textId="77777777" w:rsidR="000C3158" w:rsidRPr="00351C7D" w:rsidRDefault="000C3158" w:rsidP="000C3158">
            <w:pPr>
              <w:jc w:val="center"/>
              <w:rPr>
                <w:sz w:val="20"/>
                <w:szCs w:val="20"/>
              </w:rPr>
            </w:pPr>
            <w:r w:rsidRPr="00351C7D">
              <w:rPr>
                <w:sz w:val="20"/>
                <w:szCs w:val="20"/>
              </w:rPr>
              <w:t> </w:t>
            </w:r>
          </w:p>
        </w:tc>
        <w:tc>
          <w:tcPr>
            <w:tcW w:w="1801" w:type="dxa"/>
            <w:tcBorders>
              <w:top w:val="nil"/>
              <w:left w:val="nil"/>
              <w:bottom w:val="nil"/>
              <w:right w:val="single" w:sz="4" w:space="0" w:color="auto"/>
            </w:tcBorders>
            <w:shd w:val="clear" w:color="000000" w:fill="FFFFFF"/>
            <w:noWrap/>
            <w:vAlign w:val="bottom"/>
            <w:hideMark/>
          </w:tcPr>
          <w:p w14:paraId="108AD980" w14:textId="77777777" w:rsidR="000C3158" w:rsidRPr="00351C7D" w:rsidRDefault="000C3158" w:rsidP="000C3158">
            <w:pPr>
              <w:jc w:val="center"/>
              <w:rPr>
                <w:sz w:val="20"/>
                <w:szCs w:val="20"/>
              </w:rPr>
            </w:pPr>
            <w:r w:rsidRPr="00351C7D">
              <w:rPr>
                <w:sz w:val="20"/>
                <w:szCs w:val="20"/>
              </w:rPr>
              <w:t> </w:t>
            </w:r>
          </w:p>
        </w:tc>
      </w:tr>
      <w:tr w:rsidR="000C3158" w:rsidRPr="00351C7D" w14:paraId="0D1A92B6"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18469C68" w14:textId="77777777" w:rsidR="000C3158" w:rsidRPr="00351C7D" w:rsidRDefault="000C3158">
            <w:pPr>
              <w:rPr>
                <w:sz w:val="20"/>
                <w:szCs w:val="20"/>
              </w:rPr>
            </w:pPr>
            <w:r w:rsidRPr="00351C7D">
              <w:rPr>
                <w:sz w:val="20"/>
                <w:szCs w:val="20"/>
              </w:rPr>
              <w:t>Minimum Revenue Provision (MRP)</w:t>
            </w:r>
          </w:p>
        </w:tc>
        <w:tc>
          <w:tcPr>
            <w:tcW w:w="1843" w:type="dxa"/>
            <w:tcBorders>
              <w:top w:val="nil"/>
              <w:left w:val="single" w:sz="4" w:space="0" w:color="auto"/>
              <w:bottom w:val="nil"/>
              <w:right w:val="nil"/>
            </w:tcBorders>
            <w:shd w:val="clear" w:color="000000" w:fill="FFFFFF"/>
            <w:noWrap/>
            <w:vAlign w:val="bottom"/>
          </w:tcPr>
          <w:p w14:paraId="67EB0CA2" w14:textId="77777777" w:rsidR="000C3158" w:rsidRPr="00351C7D" w:rsidRDefault="00BF0ED2" w:rsidP="00351C7D">
            <w:pPr>
              <w:jc w:val="center"/>
              <w:rPr>
                <w:sz w:val="20"/>
                <w:szCs w:val="20"/>
              </w:rPr>
            </w:pPr>
            <w:r>
              <w:rPr>
                <w:sz w:val="20"/>
                <w:szCs w:val="20"/>
              </w:rPr>
              <w:t>20.046</w:t>
            </w:r>
          </w:p>
        </w:tc>
        <w:tc>
          <w:tcPr>
            <w:tcW w:w="1843" w:type="dxa"/>
            <w:tcBorders>
              <w:top w:val="nil"/>
              <w:left w:val="single" w:sz="4" w:space="0" w:color="auto"/>
              <w:bottom w:val="nil"/>
              <w:right w:val="single" w:sz="4" w:space="0" w:color="auto"/>
            </w:tcBorders>
            <w:shd w:val="clear" w:color="000000" w:fill="FFFFFF"/>
            <w:noWrap/>
            <w:vAlign w:val="bottom"/>
          </w:tcPr>
          <w:p w14:paraId="3F508E4D" w14:textId="77777777" w:rsidR="000C3158" w:rsidRPr="00BF0ED2" w:rsidRDefault="00BF0ED2">
            <w:pPr>
              <w:jc w:val="center"/>
              <w:rPr>
                <w:sz w:val="20"/>
                <w:szCs w:val="20"/>
              </w:rPr>
            </w:pPr>
            <w:r w:rsidRPr="00BF0ED2">
              <w:rPr>
                <w:sz w:val="20"/>
                <w:szCs w:val="20"/>
              </w:rPr>
              <w:t>21.383</w:t>
            </w:r>
          </w:p>
        </w:tc>
        <w:tc>
          <w:tcPr>
            <w:tcW w:w="1884" w:type="dxa"/>
            <w:tcBorders>
              <w:top w:val="nil"/>
              <w:left w:val="nil"/>
              <w:bottom w:val="nil"/>
              <w:right w:val="single" w:sz="4" w:space="0" w:color="auto"/>
            </w:tcBorders>
            <w:shd w:val="clear" w:color="000000" w:fill="FFFFFF"/>
            <w:noWrap/>
            <w:vAlign w:val="bottom"/>
          </w:tcPr>
          <w:p w14:paraId="106FE596" w14:textId="77777777" w:rsidR="000C3158" w:rsidRPr="00BF0ED2" w:rsidRDefault="00BF0ED2">
            <w:pPr>
              <w:jc w:val="center"/>
              <w:rPr>
                <w:sz w:val="20"/>
                <w:szCs w:val="20"/>
              </w:rPr>
            </w:pPr>
            <w:r w:rsidRPr="00BF0ED2">
              <w:rPr>
                <w:sz w:val="20"/>
                <w:szCs w:val="20"/>
              </w:rPr>
              <w:t>21.828</w:t>
            </w:r>
          </w:p>
        </w:tc>
        <w:tc>
          <w:tcPr>
            <w:tcW w:w="1801" w:type="dxa"/>
            <w:tcBorders>
              <w:top w:val="nil"/>
              <w:left w:val="nil"/>
              <w:bottom w:val="nil"/>
              <w:right w:val="single" w:sz="4" w:space="0" w:color="auto"/>
            </w:tcBorders>
            <w:shd w:val="clear" w:color="000000" w:fill="FFFFFF"/>
            <w:noWrap/>
            <w:vAlign w:val="bottom"/>
          </w:tcPr>
          <w:p w14:paraId="2FC75527" w14:textId="77777777" w:rsidR="000C3158" w:rsidRPr="00BF0ED2" w:rsidRDefault="00BF0ED2">
            <w:pPr>
              <w:jc w:val="center"/>
              <w:rPr>
                <w:sz w:val="20"/>
                <w:szCs w:val="20"/>
              </w:rPr>
            </w:pPr>
            <w:r w:rsidRPr="00BF0ED2">
              <w:rPr>
                <w:sz w:val="20"/>
                <w:szCs w:val="20"/>
              </w:rPr>
              <w:t>23.871</w:t>
            </w:r>
          </w:p>
        </w:tc>
      </w:tr>
      <w:tr w:rsidR="000C3158" w:rsidRPr="00351C7D" w14:paraId="169402FA"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4F7B05EA"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tcPr>
          <w:p w14:paraId="3D9ECBE2" w14:textId="77777777"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14:paraId="100069D5" w14:textId="77777777" w:rsidR="000C3158" w:rsidRPr="00BF0ED2"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14:paraId="7AE8C3DA" w14:textId="77777777" w:rsidR="000C3158" w:rsidRPr="00BF0ED2"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tcPr>
          <w:p w14:paraId="4EAE7A3B" w14:textId="77777777" w:rsidR="000C3158" w:rsidRPr="00BF0ED2" w:rsidRDefault="000C3158">
            <w:pPr>
              <w:jc w:val="center"/>
              <w:rPr>
                <w:sz w:val="20"/>
                <w:szCs w:val="20"/>
              </w:rPr>
            </w:pPr>
          </w:p>
        </w:tc>
      </w:tr>
      <w:tr w:rsidR="000C3158" w:rsidRPr="00351C7D" w14:paraId="31FB3977"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4742E69E" w14:textId="77777777" w:rsidR="000C3158" w:rsidRPr="00351C7D" w:rsidRDefault="000C3158" w:rsidP="000C3158">
            <w:pPr>
              <w:rPr>
                <w:sz w:val="20"/>
                <w:szCs w:val="20"/>
              </w:rPr>
            </w:pPr>
            <w:r w:rsidRPr="00351C7D">
              <w:rPr>
                <w:sz w:val="20"/>
                <w:szCs w:val="20"/>
              </w:rPr>
              <w:t>Interest Paid</w:t>
            </w:r>
          </w:p>
        </w:tc>
        <w:tc>
          <w:tcPr>
            <w:tcW w:w="1843" w:type="dxa"/>
            <w:tcBorders>
              <w:top w:val="nil"/>
              <w:left w:val="single" w:sz="4" w:space="0" w:color="auto"/>
              <w:bottom w:val="nil"/>
              <w:right w:val="nil"/>
            </w:tcBorders>
            <w:shd w:val="clear" w:color="000000" w:fill="FFFFFF"/>
            <w:noWrap/>
            <w:vAlign w:val="bottom"/>
          </w:tcPr>
          <w:p w14:paraId="6C962545" w14:textId="77777777" w:rsidR="000C3158" w:rsidRPr="00351C7D" w:rsidRDefault="00BF0ED2" w:rsidP="00351C7D">
            <w:pPr>
              <w:jc w:val="center"/>
              <w:rPr>
                <w:sz w:val="20"/>
                <w:szCs w:val="20"/>
              </w:rPr>
            </w:pPr>
            <w:r>
              <w:rPr>
                <w:sz w:val="20"/>
                <w:szCs w:val="20"/>
              </w:rPr>
              <w:t>24.948</w:t>
            </w:r>
          </w:p>
        </w:tc>
        <w:tc>
          <w:tcPr>
            <w:tcW w:w="1843" w:type="dxa"/>
            <w:tcBorders>
              <w:top w:val="nil"/>
              <w:left w:val="single" w:sz="4" w:space="0" w:color="auto"/>
              <w:bottom w:val="nil"/>
              <w:right w:val="single" w:sz="4" w:space="0" w:color="auto"/>
            </w:tcBorders>
            <w:shd w:val="clear" w:color="000000" w:fill="FFFFFF"/>
            <w:noWrap/>
            <w:vAlign w:val="bottom"/>
          </w:tcPr>
          <w:p w14:paraId="5720BB28" w14:textId="77777777" w:rsidR="000C3158" w:rsidRPr="00BF0ED2" w:rsidRDefault="00BF0ED2">
            <w:pPr>
              <w:jc w:val="center"/>
              <w:rPr>
                <w:sz w:val="20"/>
                <w:szCs w:val="20"/>
              </w:rPr>
            </w:pPr>
            <w:r w:rsidRPr="00BF0ED2">
              <w:rPr>
                <w:sz w:val="20"/>
                <w:szCs w:val="20"/>
              </w:rPr>
              <w:t>26.774</w:t>
            </w:r>
          </w:p>
        </w:tc>
        <w:tc>
          <w:tcPr>
            <w:tcW w:w="1884" w:type="dxa"/>
            <w:tcBorders>
              <w:top w:val="nil"/>
              <w:left w:val="nil"/>
              <w:bottom w:val="nil"/>
              <w:right w:val="single" w:sz="4" w:space="0" w:color="auto"/>
            </w:tcBorders>
            <w:shd w:val="clear" w:color="000000" w:fill="FFFFFF"/>
            <w:noWrap/>
            <w:vAlign w:val="bottom"/>
          </w:tcPr>
          <w:p w14:paraId="1DB8C75F" w14:textId="77777777" w:rsidR="000C3158" w:rsidRPr="00BF0ED2" w:rsidRDefault="00BF0ED2">
            <w:pPr>
              <w:jc w:val="center"/>
              <w:rPr>
                <w:sz w:val="20"/>
                <w:szCs w:val="20"/>
              </w:rPr>
            </w:pPr>
            <w:r w:rsidRPr="00BF0ED2">
              <w:rPr>
                <w:sz w:val="20"/>
                <w:szCs w:val="20"/>
              </w:rPr>
              <w:t>27.886</w:t>
            </w:r>
          </w:p>
        </w:tc>
        <w:tc>
          <w:tcPr>
            <w:tcW w:w="1801" w:type="dxa"/>
            <w:tcBorders>
              <w:top w:val="nil"/>
              <w:left w:val="nil"/>
              <w:bottom w:val="nil"/>
              <w:right w:val="single" w:sz="4" w:space="0" w:color="auto"/>
            </w:tcBorders>
            <w:shd w:val="clear" w:color="000000" w:fill="FFFFFF"/>
            <w:noWrap/>
            <w:vAlign w:val="bottom"/>
          </w:tcPr>
          <w:p w14:paraId="54C5592F" w14:textId="77777777" w:rsidR="000C3158" w:rsidRPr="00BF0ED2" w:rsidRDefault="00BF0ED2">
            <w:pPr>
              <w:jc w:val="center"/>
              <w:rPr>
                <w:sz w:val="20"/>
                <w:szCs w:val="20"/>
              </w:rPr>
            </w:pPr>
            <w:r w:rsidRPr="00BF0ED2">
              <w:rPr>
                <w:sz w:val="20"/>
                <w:szCs w:val="20"/>
              </w:rPr>
              <w:t>27.315</w:t>
            </w:r>
          </w:p>
        </w:tc>
      </w:tr>
      <w:tr w:rsidR="000C3158" w:rsidRPr="00351C7D" w14:paraId="587F4F2B"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0DD85876"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tcPr>
          <w:p w14:paraId="3FC64C42" w14:textId="77777777"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14:paraId="35684BF4" w14:textId="77777777" w:rsidR="000C3158" w:rsidRPr="00BF0ED2"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14:paraId="7D36B085" w14:textId="77777777" w:rsidR="000C3158" w:rsidRPr="00BF0ED2"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tcPr>
          <w:p w14:paraId="361ED933" w14:textId="77777777" w:rsidR="000C3158" w:rsidRPr="00BF0ED2" w:rsidRDefault="000C3158">
            <w:pPr>
              <w:jc w:val="center"/>
              <w:rPr>
                <w:sz w:val="20"/>
                <w:szCs w:val="20"/>
              </w:rPr>
            </w:pPr>
          </w:p>
        </w:tc>
      </w:tr>
      <w:tr w:rsidR="000C3158" w:rsidRPr="00351C7D" w14:paraId="0F4D63A6"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270D1610" w14:textId="77777777" w:rsidR="000C3158" w:rsidRPr="00351C7D" w:rsidRDefault="000C3158" w:rsidP="000C3158">
            <w:pPr>
              <w:rPr>
                <w:sz w:val="20"/>
                <w:szCs w:val="20"/>
              </w:rPr>
            </w:pPr>
            <w:r w:rsidRPr="00351C7D">
              <w:rPr>
                <w:sz w:val="20"/>
                <w:szCs w:val="20"/>
              </w:rPr>
              <w:t>Interest Earned</w:t>
            </w:r>
          </w:p>
        </w:tc>
        <w:tc>
          <w:tcPr>
            <w:tcW w:w="1843" w:type="dxa"/>
            <w:tcBorders>
              <w:top w:val="nil"/>
              <w:left w:val="single" w:sz="4" w:space="0" w:color="auto"/>
              <w:bottom w:val="nil"/>
              <w:right w:val="nil"/>
            </w:tcBorders>
            <w:shd w:val="clear" w:color="000000" w:fill="FFFFFF"/>
            <w:noWrap/>
            <w:vAlign w:val="bottom"/>
          </w:tcPr>
          <w:p w14:paraId="3C143DCD" w14:textId="77777777" w:rsidR="000C3158" w:rsidRPr="00351C7D" w:rsidRDefault="00F5143D" w:rsidP="00351C7D">
            <w:pPr>
              <w:jc w:val="center"/>
              <w:rPr>
                <w:sz w:val="20"/>
                <w:szCs w:val="20"/>
              </w:rPr>
            </w:pPr>
            <w:r>
              <w:rPr>
                <w:sz w:val="20"/>
                <w:szCs w:val="20"/>
              </w:rPr>
              <w:t>-11.410</w:t>
            </w:r>
          </w:p>
        </w:tc>
        <w:tc>
          <w:tcPr>
            <w:tcW w:w="1843" w:type="dxa"/>
            <w:tcBorders>
              <w:top w:val="nil"/>
              <w:left w:val="single" w:sz="4" w:space="0" w:color="auto"/>
              <w:bottom w:val="nil"/>
              <w:right w:val="single" w:sz="4" w:space="0" w:color="auto"/>
            </w:tcBorders>
            <w:shd w:val="clear" w:color="000000" w:fill="FFFFFF"/>
            <w:noWrap/>
            <w:vAlign w:val="bottom"/>
          </w:tcPr>
          <w:p w14:paraId="6F93C114" w14:textId="77777777" w:rsidR="000C3158" w:rsidRPr="00BF0ED2" w:rsidRDefault="00F5143D">
            <w:pPr>
              <w:jc w:val="center"/>
              <w:rPr>
                <w:sz w:val="20"/>
                <w:szCs w:val="20"/>
              </w:rPr>
            </w:pPr>
            <w:r w:rsidRPr="00BF0ED2">
              <w:rPr>
                <w:sz w:val="20"/>
                <w:szCs w:val="20"/>
              </w:rPr>
              <w:t>-10.524</w:t>
            </w:r>
          </w:p>
        </w:tc>
        <w:tc>
          <w:tcPr>
            <w:tcW w:w="1884" w:type="dxa"/>
            <w:tcBorders>
              <w:top w:val="nil"/>
              <w:left w:val="nil"/>
              <w:bottom w:val="nil"/>
              <w:right w:val="single" w:sz="4" w:space="0" w:color="auto"/>
            </w:tcBorders>
            <w:shd w:val="clear" w:color="000000" w:fill="FFFFFF"/>
            <w:noWrap/>
            <w:vAlign w:val="bottom"/>
          </w:tcPr>
          <w:p w14:paraId="126313C8" w14:textId="77777777" w:rsidR="000C3158" w:rsidRPr="00BF0ED2" w:rsidRDefault="00F5143D">
            <w:pPr>
              <w:jc w:val="center"/>
              <w:rPr>
                <w:sz w:val="20"/>
                <w:szCs w:val="20"/>
              </w:rPr>
            </w:pPr>
            <w:r w:rsidRPr="00BF0ED2">
              <w:rPr>
                <w:sz w:val="20"/>
                <w:szCs w:val="20"/>
              </w:rPr>
              <w:t>-10.733</w:t>
            </w:r>
          </w:p>
        </w:tc>
        <w:tc>
          <w:tcPr>
            <w:tcW w:w="1801" w:type="dxa"/>
            <w:tcBorders>
              <w:top w:val="nil"/>
              <w:left w:val="nil"/>
              <w:bottom w:val="nil"/>
              <w:right w:val="single" w:sz="4" w:space="0" w:color="auto"/>
            </w:tcBorders>
            <w:shd w:val="clear" w:color="000000" w:fill="FFFFFF"/>
            <w:noWrap/>
            <w:vAlign w:val="bottom"/>
          </w:tcPr>
          <w:p w14:paraId="7DFA8857" w14:textId="77777777" w:rsidR="000C3158" w:rsidRPr="00BF0ED2" w:rsidRDefault="00F5143D">
            <w:pPr>
              <w:jc w:val="center"/>
              <w:rPr>
                <w:sz w:val="20"/>
                <w:szCs w:val="20"/>
              </w:rPr>
            </w:pPr>
            <w:r w:rsidRPr="00BF0ED2">
              <w:rPr>
                <w:sz w:val="20"/>
                <w:szCs w:val="20"/>
              </w:rPr>
              <w:t>-10.842</w:t>
            </w:r>
          </w:p>
        </w:tc>
      </w:tr>
      <w:tr w:rsidR="000C3158" w:rsidRPr="00351C7D" w14:paraId="5DE0FE28"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26F49C77"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tcPr>
          <w:p w14:paraId="11234DCF" w14:textId="77777777"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14:paraId="126CCA1B" w14:textId="77777777" w:rsidR="000C3158" w:rsidRPr="00BF0ED2"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14:paraId="7292215B" w14:textId="77777777" w:rsidR="000C3158" w:rsidRPr="00BF0ED2"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tcPr>
          <w:p w14:paraId="6B169F0F" w14:textId="77777777" w:rsidR="000C3158" w:rsidRPr="00BF0ED2" w:rsidRDefault="000C3158">
            <w:pPr>
              <w:jc w:val="center"/>
              <w:rPr>
                <w:sz w:val="20"/>
                <w:szCs w:val="20"/>
              </w:rPr>
            </w:pPr>
          </w:p>
        </w:tc>
      </w:tr>
      <w:tr w:rsidR="000C3158" w:rsidRPr="00351C7D" w14:paraId="0D403432"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1B831A2D" w14:textId="77777777" w:rsidR="000C3158" w:rsidRPr="00351C7D" w:rsidRDefault="000C3158" w:rsidP="000C3158">
            <w:pPr>
              <w:rPr>
                <w:sz w:val="20"/>
                <w:szCs w:val="20"/>
              </w:rPr>
            </w:pPr>
            <w:r w:rsidRPr="00351C7D">
              <w:rPr>
                <w:sz w:val="20"/>
                <w:szCs w:val="20"/>
              </w:rPr>
              <w:t>Grants Received</w:t>
            </w:r>
          </w:p>
        </w:tc>
        <w:tc>
          <w:tcPr>
            <w:tcW w:w="1843" w:type="dxa"/>
            <w:tcBorders>
              <w:top w:val="nil"/>
              <w:left w:val="single" w:sz="4" w:space="0" w:color="auto"/>
              <w:bottom w:val="nil"/>
              <w:right w:val="nil"/>
            </w:tcBorders>
            <w:shd w:val="clear" w:color="000000" w:fill="FFFFFF"/>
            <w:noWrap/>
            <w:vAlign w:val="bottom"/>
          </w:tcPr>
          <w:p w14:paraId="0F8FFB6E" w14:textId="77777777" w:rsidR="000C3158" w:rsidRPr="00351C7D" w:rsidRDefault="00F5143D" w:rsidP="00351C7D">
            <w:pPr>
              <w:jc w:val="center"/>
              <w:rPr>
                <w:sz w:val="20"/>
                <w:szCs w:val="20"/>
              </w:rPr>
            </w:pPr>
            <w:r>
              <w:rPr>
                <w:sz w:val="20"/>
                <w:szCs w:val="20"/>
              </w:rPr>
              <w:t>-0.260</w:t>
            </w:r>
          </w:p>
        </w:tc>
        <w:tc>
          <w:tcPr>
            <w:tcW w:w="1843" w:type="dxa"/>
            <w:tcBorders>
              <w:top w:val="nil"/>
              <w:left w:val="single" w:sz="4" w:space="0" w:color="auto"/>
              <w:bottom w:val="nil"/>
              <w:right w:val="single" w:sz="4" w:space="0" w:color="auto"/>
            </w:tcBorders>
            <w:shd w:val="clear" w:color="000000" w:fill="FFFFFF"/>
            <w:noWrap/>
            <w:vAlign w:val="bottom"/>
          </w:tcPr>
          <w:p w14:paraId="21AD5E97" w14:textId="77777777" w:rsidR="000C3158" w:rsidRPr="00BF0ED2" w:rsidRDefault="00F5143D" w:rsidP="00351C7D">
            <w:pPr>
              <w:jc w:val="center"/>
              <w:rPr>
                <w:sz w:val="20"/>
                <w:szCs w:val="20"/>
              </w:rPr>
            </w:pPr>
            <w:r w:rsidRPr="00BF0ED2">
              <w:rPr>
                <w:sz w:val="20"/>
                <w:szCs w:val="20"/>
              </w:rPr>
              <w:t>-0.240</w:t>
            </w:r>
          </w:p>
        </w:tc>
        <w:tc>
          <w:tcPr>
            <w:tcW w:w="1884" w:type="dxa"/>
            <w:tcBorders>
              <w:top w:val="nil"/>
              <w:left w:val="nil"/>
              <w:bottom w:val="nil"/>
              <w:right w:val="single" w:sz="4" w:space="0" w:color="auto"/>
            </w:tcBorders>
            <w:shd w:val="clear" w:color="000000" w:fill="FFFFFF"/>
            <w:noWrap/>
            <w:vAlign w:val="bottom"/>
          </w:tcPr>
          <w:p w14:paraId="1312801B" w14:textId="77777777" w:rsidR="000C3158" w:rsidRPr="00BF0ED2" w:rsidRDefault="00F5143D" w:rsidP="00351C7D">
            <w:pPr>
              <w:jc w:val="center"/>
              <w:rPr>
                <w:sz w:val="20"/>
                <w:szCs w:val="20"/>
              </w:rPr>
            </w:pPr>
            <w:r w:rsidRPr="00BF0ED2">
              <w:rPr>
                <w:sz w:val="20"/>
                <w:szCs w:val="20"/>
              </w:rPr>
              <w:t>-0.240</w:t>
            </w:r>
          </w:p>
        </w:tc>
        <w:tc>
          <w:tcPr>
            <w:tcW w:w="1801" w:type="dxa"/>
            <w:tcBorders>
              <w:top w:val="nil"/>
              <w:left w:val="nil"/>
              <w:bottom w:val="nil"/>
              <w:right w:val="single" w:sz="4" w:space="0" w:color="auto"/>
            </w:tcBorders>
            <w:shd w:val="clear" w:color="000000" w:fill="FFFFFF"/>
            <w:noWrap/>
            <w:vAlign w:val="bottom"/>
          </w:tcPr>
          <w:p w14:paraId="47C93698" w14:textId="77777777" w:rsidR="000C3158" w:rsidRPr="00BF0ED2" w:rsidRDefault="00F5143D" w:rsidP="00E20AE3">
            <w:pPr>
              <w:jc w:val="center"/>
              <w:rPr>
                <w:sz w:val="20"/>
                <w:szCs w:val="20"/>
              </w:rPr>
            </w:pPr>
            <w:r w:rsidRPr="00BF0ED2">
              <w:rPr>
                <w:sz w:val="20"/>
                <w:szCs w:val="20"/>
              </w:rPr>
              <w:t>-0.240</w:t>
            </w:r>
          </w:p>
        </w:tc>
      </w:tr>
      <w:tr w:rsidR="000C3158" w:rsidRPr="00351C7D" w14:paraId="2A5F8A51" w14:textId="77777777" w:rsidTr="009940B4">
        <w:trPr>
          <w:trHeight w:val="285"/>
        </w:trPr>
        <w:tc>
          <w:tcPr>
            <w:tcW w:w="2830" w:type="dxa"/>
            <w:tcBorders>
              <w:top w:val="nil"/>
              <w:left w:val="single" w:sz="4" w:space="0" w:color="auto"/>
              <w:bottom w:val="nil"/>
              <w:right w:val="nil"/>
            </w:tcBorders>
            <w:shd w:val="clear" w:color="000000" w:fill="FFFFFF"/>
            <w:noWrap/>
            <w:vAlign w:val="bottom"/>
            <w:hideMark/>
          </w:tcPr>
          <w:p w14:paraId="731F26DF" w14:textId="77777777"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tcPr>
          <w:p w14:paraId="0D232882" w14:textId="77777777"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14:paraId="18D5C17F" w14:textId="77777777" w:rsidR="000C3158" w:rsidRPr="00BF0ED2"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14:paraId="5B6CD670" w14:textId="77777777" w:rsidR="000C3158" w:rsidRPr="00BF0ED2"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tcPr>
          <w:p w14:paraId="796B7474" w14:textId="77777777" w:rsidR="000C3158" w:rsidRPr="00BF0ED2" w:rsidRDefault="000C3158">
            <w:pPr>
              <w:jc w:val="center"/>
              <w:rPr>
                <w:sz w:val="20"/>
                <w:szCs w:val="20"/>
              </w:rPr>
            </w:pPr>
          </w:p>
        </w:tc>
      </w:tr>
      <w:tr w:rsidR="000C3158" w:rsidRPr="00351C7D" w14:paraId="53526F06" w14:textId="77777777" w:rsidTr="009940B4">
        <w:trPr>
          <w:trHeight w:val="285"/>
        </w:trPr>
        <w:tc>
          <w:tcPr>
            <w:tcW w:w="2830" w:type="dxa"/>
            <w:tcBorders>
              <w:top w:val="single" w:sz="4" w:space="0" w:color="auto"/>
              <w:left w:val="single" w:sz="4" w:space="0" w:color="auto"/>
              <w:bottom w:val="single" w:sz="4" w:space="0" w:color="auto"/>
              <w:right w:val="nil"/>
            </w:tcBorders>
            <w:shd w:val="clear" w:color="000000" w:fill="FFFFFF"/>
            <w:noWrap/>
            <w:vAlign w:val="bottom"/>
            <w:hideMark/>
          </w:tcPr>
          <w:p w14:paraId="2E4A08CA" w14:textId="77777777" w:rsidR="000C3158" w:rsidRPr="00351C7D" w:rsidRDefault="000C3158" w:rsidP="000C3158">
            <w:pPr>
              <w:rPr>
                <w:sz w:val="20"/>
                <w:szCs w:val="20"/>
              </w:rPr>
            </w:pPr>
            <w:r w:rsidRPr="00351C7D">
              <w:rPr>
                <w:sz w:val="20"/>
                <w:szCs w:val="20"/>
              </w:rPr>
              <w:t>Total</w:t>
            </w:r>
          </w:p>
        </w:tc>
        <w:tc>
          <w:tcPr>
            <w:tcW w:w="1843" w:type="dxa"/>
            <w:tcBorders>
              <w:top w:val="single" w:sz="4" w:space="0" w:color="auto"/>
              <w:left w:val="single" w:sz="4" w:space="0" w:color="auto"/>
              <w:bottom w:val="single" w:sz="4" w:space="0" w:color="auto"/>
              <w:right w:val="nil"/>
            </w:tcBorders>
            <w:shd w:val="clear" w:color="000000" w:fill="FFFFFF"/>
            <w:noWrap/>
            <w:vAlign w:val="bottom"/>
          </w:tcPr>
          <w:p w14:paraId="693FEC2C" w14:textId="77777777" w:rsidR="000C3158" w:rsidRPr="00351C7D" w:rsidRDefault="00F5143D" w:rsidP="00F861B8">
            <w:pPr>
              <w:jc w:val="center"/>
              <w:rPr>
                <w:sz w:val="20"/>
                <w:szCs w:val="20"/>
              </w:rPr>
            </w:pPr>
            <w:r>
              <w:rPr>
                <w:sz w:val="20"/>
                <w:szCs w:val="20"/>
              </w:rPr>
              <w:t>33.324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543611" w14:textId="77777777" w:rsidR="000C3158" w:rsidRPr="00BF0ED2" w:rsidRDefault="00F5143D">
            <w:pPr>
              <w:jc w:val="center"/>
              <w:rPr>
                <w:sz w:val="20"/>
                <w:szCs w:val="20"/>
              </w:rPr>
            </w:pPr>
            <w:r w:rsidRPr="00BF0ED2">
              <w:rPr>
                <w:sz w:val="20"/>
                <w:szCs w:val="20"/>
              </w:rPr>
              <w:t>37.393</w:t>
            </w:r>
          </w:p>
        </w:tc>
        <w:tc>
          <w:tcPr>
            <w:tcW w:w="1884" w:type="dxa"/>
            <w:tcBorders>
              <w:top w:val="single" w:sz="4" w:space="0" w:color="auto"/>
              <w:left w:val="nil"/>
              <w:bottom w:val="single" w:sz="4" w:space="0" w:color="auto"/>
              <w:right w:val="single" w:sz="4" w:space="0" w:color="auto"/>
            </w:tcBorders>
            <w:shd w:val="clear" w:color="000000" w:fill="FFFFFF"/>
            <w:noWrap/>
            <w:vAlign w:val="bottom"/>
          </w:tcPr>
          <w:p w14:paraId="3DAAFB19" w14:textId="77777777" w:rsidR="000C3158" w:rsidRPr="00BF0ED2" w:rsidRDefault="00F5143D">
            <w:pPr>
              <w:jc w:val="center"/>
              <w:rPr>
                <w:sz w:val="20"/>
                <w:szCs w:val="20"/>
              </w:rPr>
            </w:pPr>
            <w:r w:rsidRPr="00BF0ED2">
              <w:rPr>
                <w:sz w:val="20"/>
                <w:szCs w:val="20"/>
              </w:rPr>
              <w:t>38.741</w:t>
            </w:r>
          </w:p>
        </w:tc>
        <w:tc>
          <w:tcPr>
            <w:tcW w:w="1801" w:type="dxa"/>
            <w:tcBorders>
              <w:top w:val="single" w:sz="4" w:space="0" w:color="auto"/>
              <w:left w:val="nil"/>
              <w:bottom w:val="single" w:sz="4" w:space="0" w:color="auto"/>
              <w:right w:val="single" w:sz="4" w:space="0" w:color="auto"/>
            </w:tcBorders>
            <w:shd w:val="clear" w:color="000000" w:fill="FFFFFF"/>
            <w:noWrap/>
            <w:vAlign w:val="bottom"/>
          </w:tcPr>
          <w:p w14:paraId="636FCE83" w14:textId="77777777" w:rsidR="000C3158" w:rsidRPr="00BF0ED2" w:rsidRDefault="00F5143D">
            <w:pPr>
              <w:jc w:val="center"/>
              <w:rPr>
                <w:sz w:val="20"/>
                <w:szCs w:val="20"/>
              </w:rPr>
            </w:pPr>
            <w:r w:rsidRPr="00BF0ED2">
              <w:rPr>
                <w:sz w:val="20"/>
                <w:szCs w:val="20"/>
              </w:rPr>
              <w:t>40.104</w:t>
            </w:r>
          </w:p>
        </w:tc>
      </w:tr>
    </w:tbl>
    <w:p w14:paraId="172480A1" w14:textId="77777777" w:rsidR="00AF4E4F" w:rsidRDefault="00AF4E4F" w:rsidP="005F7FAC">
      <w:pPr>
        <w:jc w:val="both"/>
      </w:pPr>
    </w:p>
    <w:p w14:paraId="22D082D8" w14:textId="19FF1315" w:rsidR="00275D6A" w:rsidRPr="00351C7D" w:rsidRDefault="00275D6A" w:rsidP="005F7FAC">
      <w:pPr>
        <w:jc w:val="both"/>
      </w:pPr>
      <w:r w:rsidRPr="00351C7D">
        <w:t xml:space="preserve">The revenue budget above reflects a position </w:t>
      </w:r>
      <w:r w:rsidR="005D759F" w:rsidRPr="00351C7D">
        <w:t xml:space="preserve">which takes </w:t>
      </w:r>
      <w:r w:rsidR="00481E94" w:rsidRPr="00351C7D">
        <w:t xml:space="preserve">account of the </w:t>
      </w:r>
      <w:r w:rsidR="005D759F" w:rsidRPr="00351C7D">
        <w:t>view</w:t>
      </w:r>
      <w:r w:rsidR="00481E94" w:rsidRPr="00351C7D">
        <w:t>s</w:t>
      </w:r>
      <w:r w:rsidR="005D759F" w:rsidRPr="00351C7D">
        <w:t xml:space="preserve"> of both</w:t>
      </w:r>
      <w:r w:rsidRPr="00351C7D">
        <w:t xml:space="preserve"> internal and external advisors</w:t>
      </w:r>
      <w:r w:rsidR="00481E94" w:rsidRPr="00351C7D">
        <w:t>, particularly in relation to interest rate movements</w:t>
      </w:r>
      <w:r w:rsidR="00606948">
        <w:t>.</w:t>
      </w:r>
      <w:r w:rsidR="00481E94" w:rsidRPr="00351C7D">
        <w:t xml:space="preserve"> </w:t>
      </w:r>
      <w:r w:rsidR="00606948">
        <w:t>Provision has also been made for</w:t>
      </w:r>
      <w:r w:rsidR="00481E94" w:rsidRPr="00351C7D">
        <w:t xml:space="preserve"> </w:t>
      </w:r>
      <w:r w:rsidR="00606948">
        <w:t>changing some of the borrowing to a long term fixed rate rather than the existing short term rates.</w:t>
      </w:r>
    </w:p>
    <w:p w14:paraId="34385A42" w14:textId="77777777" w:rsidR="007E144B" w:rsidRPr="00351C7D" w:rsidRDefault="007E144B" w:rsidP="005F7FAC">
      <w:pPr>
        <w:jc w:val="both"/>
      </w:pPr>
    </w:p>
    <w:p w14:paraId="70EB5BE2" w14:textId="71D8DCCF" w:rsidR="00E21386" w:rsidRDefault="0078085E" w:rsidP="005F7FAC">
      <w:pPr>
        <w:jc w:val="both"/>
      </w:pPr>
      <w:r w:rsidRPr="00351C7D">
        <w:t xml:space="preserve">The position will be closely </w:t>
      </w:r>
      <w:r w:rsidR="00CB6A04" w:rsidRPr="00351C7D">
        <w:t xml:space="preserve">monitored by the </w:t>
      </w:r>
      <w:r w:rsidR="00606948">
        <w:t xml:space="preserve">section </w:t>
      </w:r>
      <w:r w:rsidR="00CB6A04" w:rsidRPr="00351C7D">
        <w:t xml:space="preserve">151 officer and any changes to the external view will be reflect in a revised Finance Charges forecast and </w:t>
      </w:r>
      <w:r w:rsidR="00606948">
        <w:t xml:space="preserve">included in any monitoring or MTFS reports presented </w:t>
      </w:r>
      <w:r w:rsidR="00CB6A04" w:rsidRPr="00351C7D">
        <w:t xml:space="preserve"> to Cabinet.</w:t>
      </w:r>
    </w:p>
    <w:p w14:paraId="1030D900" w14:textId="77777777" w:rsidR="00383F1D" w:rsidRDefault="00383F1D" w:rsidP="005F7FAC">
      <w:pPr>
        <w:jc w:val="both"/>
      </w:pPr>
    </w:p>
    <w:p w14:paraId="3D019E0E" w14:textId="77777777" w:rsidR="00D922C9" w:rsidRDefault="00D922C9" w:rsidP="00F861B8">
      <w:pPr>
        <w:spacing w:after="240"/>
        <w:jc w:val="both"/>
        <w:rPr>
          <w:b/>
          <w:bCs/>
        </w:rPr>
      </w:pPr>
    </w:p>
    <w:p w14:paraId="02195CC0" w14:textId="77777777" w:rsidR="00362860" w:rsidRDefault="00362860" w:rsidP="00F861B8">
      <w:pPr>
        <w:spacing w:after="240"/>
        <w:jc w:val="both"/>
        <w:rPr>
          <w:b/>
          <w:bCs/>
        </w:rPr>
      </w:pPr>
    </w:p>
    <w:p w14:paraId="2207E72D" w14:textId="77777777" w:rsidR="00DC7850" w:rsidRDefault="00DC7850" w:rsidP="00F861B8">
      <w:pPr>
        <w:spacing w:after="240"/>
        <w:jc w:val="both"/>
        <w:rPr>
          <w:b/>
          <w:bCs/>
        </w:rPr>
      </w:pPr>
    </w:p>
    <w:p w14:paraId="243C7062" w14:textId="77777777" w:rsidR="00DC7850" w:rsidRDefault="00DC7850" w:rsidP="00F861B8">
      <w:pPr>
        <w:spacing w:after="240"/>
        <w:jc w:val="both"/>
        <w:rPr>
          <w:b/>
          <w:bCs/>
        </w:rPr>
      </w:pPr>
    </w:p>
    <w:p w14:paraId="3DB03193" w14:textId="77777777" w:rsidR="00DC7850" w:rsidRDefault="00DC7850" w:rsidP="00F861B8">
      <w:pPr>
        <w:spacing w:after="240"/>
        <w:jc w:val="both"/>
        <w:rPr>
          <w:b/>
          <w:bCs/>
        </w:rPr>
      </w:pPr>
    </w:p>
    <w:p w14:paraId="2B6AA34E" w14:textId="77777777" w:rsidR="00DC7850" w:rsidRDefault="00DC7850" w:rsidP="00F861B8">
      <w:pPr>
        <w:spacing w:after="240"/>
        <w:jc w:val="both"/>
        <w:rPr>
          <w:b/>
          <w:bCs/>
        </w:rPr>
      </w:pPr>
    </w:p>
    <w:p w14:paraId="3507A514" w14:textId="77777777" w:rsidR="00DC7850" w:rsidRDefault="00DC7850" w:rsidP="00F861B8">
      <w:pPr>
        <w:spacing w:after="240"/>
        <w:jc w:val="both"/>
        <w:rPr>
          <w:b/>
          <w:bCs/>
        </w:rPr>
      </w:pPr>
    </w:p>
    <w:p w14:paraId="0154BD85" w14:textId="77777777" w:rsidR="00DC7850" w:rsidRDefault="00DC7850" w:rsidP="00F861B8">
      <w:pPr>
        <w:spacing w:after="240"/>
        <w:jc w:val="both"/>
        <w:rPr>
          <w:b/>
          <w:bCs/>
        </w:rPr>
      </w:pPr>
    </w:p>
    <w:p w14:paraId="2AF75535" w14:textId="77777777" w:rsidR="00DC7850" w:rsidRDefault="00DC7850" w:rsidP="00F861B8">
      <w:pPr>
        <w:spacing w:after="240"/>
        <w:jc w:val="both"/>
        <w:rPr>
          <w:b/>
          <w:bCs/>
        </w:rPr>
      </w:pPr>
    </w:p>
    <w:p w14:paraId="1D24C2FE" w14:textId="77777777" w:rsidR="00B63452" w:rsidRDefault="00B63452" w:rsidP="00F861B8">
      <w:pPr>
        <w:spacing w:after="240"/>
        <w:jc w:val="both"/>
        <w:rPr>
          <w:b/>
          <w:bCs/>
        </w:rPr>
      </w:pPr>
    </w:p>
    <w:p w14:paraId="26595009" w14:textId="77777777" w:rsidR="00B63452" w:rsidRDefault="00B63452" w:rsidP="00F861B8">
      <w:pPr>
        <w:spacing w:after="240"/>
        <w:jc w:val="both"/>
        <w:rPr>
          <w:b/>
          <w:bCs/>
        </w:rPr>
      </w:pPr>
    </w:p>
    <w:p w14:paraId="4B6020DE" w14:textId="77777777" w:rsidR="00B63452" w:rsidRDefault="00B63452" w:rsidP="00F861B8">
      <w:pPr>
        <w:spacing w:after="240"/>
        <w:jc w:val="both"/>
        <w:rPr>
          <w:b/>
          <w:bCs/>
        </w:rPr>
      </w:pPr>
    </w:p>
    <w:p w14:paraId="6D8CAD71" w14:textId="77777777" w:rsidR="00DC7850" w:rsidRDefault="00DC7850" w:rsidP="00F861B8">
      <w:pPr>
        <w:spacing w:after="240"/>
        <w:jc w:val="both"/>
        <w:rPr>
          <w:b/>
          <w:bCs/>
        </w:rPr>
      </w:pPr>
    </w:p>
    <w:p w14:paraId="48E6AF90" w14:textId="60C481F4" w:rsidR="00A26740" w:rsidRPr="002A48EA" w:rsidRDefault="00A26740" w:rsidP="00F861B8">
      <w:pPr>
        <w:spacing w:after="240"/>
        <w:jc w:val="both"/>
        <w:rPr>
          <w:b/>
          <w:bCs/>
        </w:rPr>
      </w:pPr>
      <w:r w:rsidRPr="002A48EA">
        <w:rPr>
          <w:b/>
          <w:bCs/>
        </w:rPr>
        <w:t xml:space="preserve">Annex </w:t>
      </w:r>
      <w:r w:rsidR="00186F66">
        <w:rPr>
          <w:b/>
          <w:bCs/>
        </w:rPr>
        <w:t>'</w:t>
      </w:r>
      <w:r w:rsidRPr="002A48EA">
        <w:rPr>
          <w:b/>
          <w:bCs/>
        </w:rPr>
        <w:t>A</w:t>
      </w:r>
      <w:r w:rsidR="00186F66">
        <w:rPr>
          <w:b/>
          <w:bCs/>
        </w:rPr>
        <w:t>'</w:t>
      </w:r>
    </w:p>
    <w:p w14:paraId="54EA11EF" w14:textId="77777777" w:rsidR="004F3510" w:rsidRPr="002A48EA" w:rsidRDefault="004F3510" w:rsidP="004F3510">
      <w:pPr>
        <w:rPr>
          <w:b/>
        </w:rPr>
      </w:pPr>
      <w:r w:rsidRPr="002A48EA">
        <w:rPr>
          <w:b/>
        </w:rPr>
        <w:t>PRUDENTIAL INDICATORS</w:t>
      </w:r>
    </w:p>
    <w:p w14:paraId="32BEE9DF" w14:textId="77777777" w:rsidR="004F3510" w:rsidRPr="002A48EA" w:rsidRDefault="004F3510" w:rsidP="004F3510"/>
    <w:p w14:paraId="611EE700" w14:textId="21E7C831" w:rsidR="00DC7850" w:rsidRPr="002A48EA" w:rsidRDefault="007E527B" w:rsidP="00A26740">
      <w:pPr>
        <w:spacing w:after="240"/>
        <w:jc w:val="both"/>
      </w:pPr>
      <w:r w:rsidRPr="002A48EA">
        <w:t xml:space="preserve">In line with the relevant legislation the </w:t>
      </w:r>
      <w:r w:rsidR="00043461">
        <w:t>c</w:t>
      </w:r>
      <w:r w:rsidR="00F25AD0">
        <w:t>ounty council</w:t>
      </w:r>
      <w:r w:rsidRPr="002A48EA">
        <w:t xml:space="preserve"> has adopted the Prudential Code for Capital Finance in Local Authorities and the CIPFA Treasury Management in the Public Services Code of Practice as setting the framework of principles for its Treasury Management activities. </w:t>
      </w:r>
      <w:r w:rsidR="00A26740" w:rsidRPr="002A48EA">
        <w:t>In accordance with the requirements of the</w:t>
      </w:r>
      <w:r w:rsidRPr="002A48EA">
        <w:t xml:space="preserve">se codes </w:t>
      </w:r>
      <w:r w:rsidR="00A26740" w:rsidRPr="002A48EA">
        <w:t xml:space="preserve">the </w:t>
      </w:r>
      <w:r w:rsidR="00F25AD0">
        <w:t xml:space="preserve">County </w:t>
      </w:r>
      <w:r w:rsidR="00DC7850">
        <w:t>C</w:t>
      </w:r>
      <w:r w:rsidR="00F25AD0">
        <w:t>ouncil</w:t>
      </w:r>
      <w:r w:rsidR="00A26740" w:rsidRPr="002A48EA">
        <w:t xml:space="preserve"> produces each year a set of prudential indicators which assist in the process of monitoring the degree of prudence with which the </w:t>
      </w:r>
      <w:r w:rsidR="00DC7850">
        <w:t>C</w:t>
      </w:r>
      <w:r w:rsidR="00043461">
        <w:t xml:space="preserve">ounty </w:t>
      </w:r>
      <w:r w:rsidR="00DC7850">
        <w:t>C</w:t>
      </w:r>
      <w:r w:rsidR="00A26740" w:rsidRPr="002A48EA">
        <w:t xml:space="preserve">ouncil undertakes its </w:t>
      </w:r>
      <w:r w:rsidR="004F3510" w:rsidRPr="002A48EA">
        <w:t xml:space="preserve">Capital Expenditure and </w:t>
      </w:r>
      <w:r w:rsidR="00A26740" w:rsidRPr="002A48EA">
        <w:t>Treasury Management activities. Certain of these indicators also provide specific limits with regard to certain types of activity such as borrowing.</w:t>
      </w:r>
      <w:r w:rsidR="00E13CB0" w:rsidRPr="002A48EA">
        <w:t xml:space="preserve"> These indicators are a consequence of the borrowing requirements and actions set out within the body of </w:t>
      </w:r>
      <w:r w:rsidR="004F3510" w:rsidRPr="002A48EA">
        <w:t xml:space="preserve">the </w:t>
      </w:r>
      <w:r w:rsidR="00E13CB0" w:rsidRPr="002A48EA">
        <w:t>Treasury Management Strategy.</w:t>
      </w:r>
    </w:p>
    <w:p w14:paraId="7990E6C7" w14:textId="77777777" w:rsidR="00AE032B" w:rsidRPr="002A48EA" w:rsidRDefault="00AE032B" w:rsidP="00A26740">
      <w:pPr>
        <w:spacing w:after="240"/>
        <w:jc w:val="both"/>
        <w:rPr>
          <w:b/>
        </w:rPr>
      </w:pPr>
      <w:r w:rsidRPr="002A48EA">
        <w:rPr>
          <w:b/>
        </w:rPr>
        <w:t>Adoption of CIPFA Treasury Management Code of Practice (2011)</w:t>
      </w:r>
    </w:p>
    <w:tbl>
      <w:tblPr>
        <w:tblW w:w="0" w:type="auto"/>
        <w:jc w:val="center"/>
        <w:tblLayout w:type="fixed"/>
        <w:tblLook w:val="0000" w:firstRow="0" w:lastRow="0" w:firstColumn="0" w:lastColumn="0" w:noHBand="0" w:noVBand="0"/>
      </w:tblPr>
      <w:tblGrid>
        <w:gridCol w:w="1822"/>
        <w:gridCol w:w="1821"/>
        <w:gridCol w:w="1822"/>
        <w:gridCol w:w="1822"/>
      </w:tblGrid>
      <w:tr w:rsidR="00AE032B" w:rsidRPr="002A48EA" w14:paraId="3A52C8F2" w14:textId="77777777" w:rsidTr="00AE032B">
        <w:trPr>
          <w:jc w:val="center"/>
        </w:trPr>
        <w:tc>
          <w:tcPr>
            <w:tcW w:w="1822" w:type="dxa"/>
          </w:tcPr>
          <w:p w14:paraId="46F26331" w14:textId="77777777" w:rsidR="00AE032B" w:rsidRPr="002A48EA" w:rsidRDefault="00AE032B" w:rsidP="00E83AEB">
            <w:pPr>
              <w:ind w:right="-662"/>
              <w:jc w:val="center"/>
              <w:rPr>
                <w:b/>
              </w:rPr>
            </w:pPr>
            <w:r w:rsidRPr="002A48EA">
              <w:rPr>
                <w:b/>
                <w:caps/>
              </w:rPr>
              <w:t xml:space="preserve">  201</w:t>
            </w:r>
            <w:r w:rsidR="00E83AEB">
              <w:rPr>
                <w:b/>
                <w:caps/>
              </w:rPr>
              <w:t>6</w:t>
            </w:r>
            <w:r w:rsidRPr="002A48EA">
              <w:rPr>
                <w:b/>
                <w:caps/>
              </w:rPr>
              <w:t>/</w:t>
            </w:r>
            <w:r w:rsidR="000C3158">
              <w:rPr>
                <w:b/>
                <w:caps/>
              </w:rPr>
              <w:t>1</w:t>
            </w:r>
            <w:r w:rsidR="00E83AEB">
              <w:rPr>
                <w:b/>
                <w:caps/>
              </w:rPr>
              <w:t>7</w:t>
            </w:r>
          </w:p>
        </w:tc>
        <w:tc>
          <w:tcPr>
            <w:tcW w:w="1821" w:type="dxa"/>
          </w:tcPr>
          <w:p w14:paraId="5BD4353A" w14:textId="77777777" w:rsidR="00AE032B" w:rsidRPr="002A48EA" w:rsidRDefault="00AE032B" w:rsidP="00E83AEB">
            <w:pPr>
              <w:ind w:right="-521"/>
              <w:jc w:val="center"/>
              <w:rPr>
                <w:b/>
              </w:rPr>
            </w:pPr>
            <w:r w:rsidRPr="002A48EA">
              <w:rPr>
                <w:b/>
              </w:rPr>
              <w:t xml:space="preserve">   201</w:t>
            </w:r>
            <w:r w:rsidR="00E83AEB">
              <w:rPr>
                <w:b/>
              </w:rPr>
              <w:t>7</w:t>
            </w:r>
            <w:r w:rsidR="000C3158">
              <w:rPr>
                <w:b/>
              </w:rPr>
              <w:t>/1</w:t>
            </w:r>
            <w:r w:rsidR="00E83AEB">
              <w:rPr>
                <w:b/>
              </w:rPr>
              <w:t>8</w:t>
            </w:r>
          </w:p>
        </w:tc>
        <w:tc>
          <w:tcPr>
            <w:tcW w:w="1822" w:type="dxa"/>
          </w:tcPr>
          <w:p w14:paraId="770AD785" w14:textId="77777777" w:rsidR="00AE032B" w:rsidRPr="002A48EA" w:rsidRDefault="00AE032B" w:rsidP="00E83AEB">
            <w:pPr>
              <w:ind w:right="-521"/>
              <w:jc w:val="center"/>
              <w:rPr>
                <w:b/>
              </w:rPr>
            </w:pPr>
            <w:r w:rsidRPr="002A48EA">
              <w:rPr>
                <w:b/>
              </w:rPr>
              <w:t xml:space="preserve">  201</w:t>
            </w:r>
            <w:r w:rsidR="00E83AEB">
              <w:rPr>
                <w:b/>
              </w:rPr>
              <w:t>8</w:t>
            </w:r>
            <w:r w:rsidR="000C3158">
              <w:rPr>
                <w:b/>
              </w:rPr>
              <w:t>/1</w:t>
            </w:r>
            <w:r w:rsidR="00E83AEB">
              <w:rPr>
                <w:b/>
              </w:rPr>
              <w:t>9</w:t>
            </w:r>
          </w:p>
        </w:tc>
        <w:tc>
          <w:tcPr>
            <w:tcW w:w="1822" w:type="dxa"/>
          </w:tcPr>
          <w:p w14:paraId="75FB0745" w14:textId="77777777" w:rsidR="00AE032B" w:rsidRPr="002A48EA" w:rsidRDefault="00AE032B" w:rsidP="00E83AEB">
            <w:pPr>
              <w:ind w:right="-521"/>
              <w:jc w:val="center"/>
              <w:rPr>
                <w:b/>
              </w:rPr>
            </w:pPr>
            <w:r w:rsidRPr="002A48EA">
              <w:rPr>
                <w:b/>
              </w:rPr>
              <w:t xml:space="preserve">      201</w:t>
            </w:r>
            <w:r w:rsidR="00E83AEB">
              <w:rPr>
                <w:b/>
              </w:rPr>
              <w:t>9</w:t>
            </w:r>
            <w:r w:rsidR="000C3158">
              <w:rPr>
                <w:b/>
              </w:rPr>
              <w:t>/</w:t>
            </w:r>
            <w:r w:rsidR="00E83AEB">
              <w:rPr>
                <w:b/>
              </w:rPr>
              <w:t>20</w:t>
            </w:r>
          </w:p>
        </w:tc>
      </w:tr>
    </w:tbl>
    <w:p w14:paraId="14F3AE87" w14:textId="77777777" w:rsidR="00AE032B" w:rsidRPr="002A48EA" w:rsidRDefault="00AE032B" w:rsidP="00C2176F">
      <w:pPr>
        <w:spacing w:after="240"/>
        <w:jc w:val="center"/>
      </w:pPr>
      <w:r w:rsidRPr="002A48EA">
        <w:t>Adopted for all years</w:t>
      </w:r>
    </w:p>
    <w:p w14:paraId="08F5144F" w14:textId="77777777" w:rsidR="004F3510" w:rsidRDefault="004F3510" w:rsidP="004F3510">
      <w:pPr>
        <w:pStyle w:val="Heading3"/>
      </w:pPr>
      <w:r w:rsidRPr="002A48EA">
        <w:t>Indicators on Capital Expenditure and Financing</w:t>
      </w:r>
    </w:p>
    <w:p w14:paraId="3D18C183" w14:textId="77777777" w:rsidR="00DC7850" w:rsidRPr="00DC7850" w:rsidRDefault="00DC7850" w:rsidP="00194D26"/>
    <w:p w14:paraId="1AEEDE46" w14:textId="6DBA544A" w:rsidR="00AF4E4F" w:rsidRPr="002A48EA" w:rsidRDefault="004F3510" w:rsidP="004F3510">
      <w:pPr>
        <w:spacing w:after="240"/>
      </w:pPr>
      <w:r w:rsidRPr="002A48EA">
        <w:t xml:space="preserve">The total capital expenditure in each year, irrespective of the method of financing estimated to be incurred by the </w:t>
      </w:r>
      <w:r w:rsidR="00F25AD0">
        <w:t>County council</w:t>
      </w:r>
      <w:r w:rsidRPr="002A48EA">
        <w:t xml:space="preserve"> is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14:paraId="42BFD218" w14:textId="77777777" w:rsidTr="003E72E2">
        <w:tc>
          <w:tcPr>
            <w:tcW w:w="1821" w:type="dxa"/>
          </w:tcPr>
          <w:p w14:paraId="069CBFB0" w14:textId="77777777" w:rsidR="003E72E2" w:rsidRPr="001143BB" w:rsidRDefault="00291641" w:rsidP="00E83AEB">
            <w:pPr>
              <w:jc w:val="center"/>
              <w:rPr>
                <w:b/>
                <w:highlight w:val="yellow"/>
              </w:rPr>
            </w:pPr>
            <w:r w:rsidRPr="002A48EA">
              <w:rPr>
                <w:b/>
                <w:caps/>
              </w:rPr>
              <w:t>201</w:t>
            </w:r>
            <w:r w:rsidR="00E83AEB">
              <w:rPr>
                <w:b/>
                <w:caps/>
              </w:rPr>
              <w:t>5</w:t>
            </w:r>
            <w:r w:rsidR="003E72E2" w:rsidRPr="002A48EA">
              <w:rPr>
                <w:b/>
                <w:caps/>
              </w:rPr>
              <w:t>/1</w:t>
            </w:r>
            <w:r w:rsidR="00E83AEB">
              <w:rPr>
                <w:b/>
                <w:caps/>
              </w:rPr>
              <w:t>6</w:t>
            </w:r>
          </w:p>
        </w:tc>
        <w:tc>
          <w:tcPr>
            <w:tcW w:w="1822" w:type="dxa"/>
          </w:tcPr>
          <w:p w14:paraId="46727836" w14:textId="77777777" w:rsidR="003E72E2" w:rsidRPr="002A48EA" w:rsidRDefault="003E72E2" w:rsidP="00E83AEB">
            <w:pPr>
              <w:jc w:val="center"/>
              <w:rPr>
                <w:b/>
              </w:rPr>
            </w:pPr>
            <w:r w:rsidRPr="002A48EA">
              <w:rPr>
                <w:b/>
              </w:rPr>
              <w:t>201</w:t>
            </w:r>
            <w:r w:rsidR="00E83AEB">
              <w:rPr>
                <w:b/>
              </w:rPr>
              <w:t>6</w:t>
            </w:r>
            <w:r w:rsidRPr="002A48EA">
              <w:rPr>
                <w:b/>
              </w:rPr>
              <w:t>/1</w:t>
            </w:r>
            <w:r w:rsidR="00E83AEB">
              <w:rPr>
                <w:b/>
              </w:rPr>
              <w:t>7</w:t>
            </w:r>
          </w:p>
        </w:tc>
        <w:tc>
          <w:tcPr>
            <w:tcW w:w="1821" w:type="dxa"/>
          </w:tcPr>
          <w:p w14:paraId="307A8F14" w14:textId="77777777" w:rsidR="003E72E2" w:rsidRPr="002A48EA" w:rsidRDefault="00291641" w:rsidP="00E83AEB">
            <w:pPr>
              <w:jc w:val="center"/>
              <w:rPr>
                <w:b/>
              </w:rPr>
            </w:pPr>
            <w:r w:rsidRPr="002A48EA">
              <w:rPr>
                <w:b/>
              </w:rPr>
              <w:t>201</w:t>
            </w:r>
            <w:r w:rsidR="00E83AEB">
              <w:rPr>
                <w:b/>
              </w:rPr>
              <w:t>7</w:t>
            </w:r>
            <w:r w:rsidR="003E72E2" w:rsidRPr="002A48EA">
              <w:rPr>
                <w:b/>
              </w:rPr>
              <w:t>/1</w:t>
            </w:r>
            <w:r w:rsidR="00E83AEB">
              <w:rPr>
                <w:b/>
              </w:rPr>
              <w:t>8</w:t>
            </w:r>
          </w:p>
        </w:tc>
        <w:tc>
          <w:tcPr>
            <w:tcW w:w="1822" w:type="dxa"/>
          </w:tcPr>
          <w:p w14:paraId="68CFB579" w14:textId="77777777" w:rsidR="003E72E2" w:rsidRPr="002A48EA" w:rsidRDefault="00291641" w:rsidP="00E83AEB">
            <w:pPr>
              <w:jc w:val="center"/>
              <w:rPr>
                <w:b/>
              </w:rPr>
            </w:pPr>
            <w:r w:rsidRPr="002A48EA">
              <w:rPr>
                <w:b/>
              </w:rPr>
              <w:t>201</w:t>
            </w:r>
            <w:r w:rsidR="00E83AEB">
              <w:rPr>
                <w:b/>
              </w:rPr>
              <w:t>8</w:t>
            </w:r>
            <w:r w:rsidR="003E72E2" w:rsidRPr="002A48EA">
              <w:rPr>
                <w:b/>
              </w:rPr>
              <w:t>/1</w:t>
            </w:r>
            <w:r w:rsidR="00E83AEB">
              <w:rPr>
                <w:b/>
              </w:rPr>
              <w:t>9</w:t>
            </w:r>
          </w:p>
        </w:tc>
        <w:tc>
          <w:tcPr>
            <w:tcW w:w="1822" w:type="dxa"/>
          </w:tcPr>
          <w:p w14:paraId="0371E08A" w14:textId="77777777" w:rsidR="003E72E2" w:rsidRPr="002A48EA" w:rsidRDefault="003E72E2" w:rsidP="00E83AEB">
            <w:pPr>
              <w:jc w:val="center"/>
              <w:rPr>
                <w:b/>
              </w:rPr>
            </w:pPr>
            <w:r w:rsidRPr="002A48EA">
              <w:rPr>
                <w:b/>
              </w:rPr>
              <w:t>201</w:t>
            </w:r>
            <w:r w:rsidR="00E83AEB">
              <w:rPr>
                <w:b/>
              </w:rPr>
              <w:t>9</w:t>
            </w:r>
            <w:r>
              <w:rPr>
                <w:b/>
              </w:rPr>
              <w:t>/</w:t>
            </w:r>
            <w:r w:rsidR="00E83AEB">
              <w:rPr>
                <w:b/>
              </w:rPr>
              <w:t>20</w:t>
            </w:r>
          </w:p>
        </w:tc>
      </w:tr>
      <w:tr w:rsidR="004F3510" w:rsidRPr="001143BB" w14:paraId="29BCD276" w14:textId="77777777" w:rsidTr="003E72E2">
        <w:tc>
          <w:tcPr>
            <w:tcW w:w="1821" w:type="dxa"/>
          </w:tcPr>
          <w:p w14:paraId="53EBB2E4" w14:textId="77777777" w:rsidR="004F3510" w:rsidRPr="00F861B8" w:rsidRDefault="004F3510" w:rsidP="004F3510">
            <w:pPr>
              <w:jc w:val="center"/>
              <w:rPr>
                <w:b/>
              </w:rPr>
            </w:pPr>
            <w:r w:rsidRPr="00F861B8">
              <w:rPr>
                <w:b/>
              </w:rPr>
              <w:t>Actual</w:t>
            </w:r>
          </w:p>
        </w:tc>
        <w:tc>
          <w:tcPr>
            <w:tcW w:w="1822" w:type="dxa"/>
          </w:tcPr>
          <w:p w14:paraId="143ABC4F" w14:textId="77777777" w:rsidR="004F3510" w:rsidRPr="00D73ADA" w:rsidRDefault="004F3510" w:rsidP="004F3510">
            <w:pPr>
              <w:jc w:val="center"/>
              <w:rPr>
                <w:b/>
              </w:rPr>
            </w:pPr>
            <w:r w:rsidRPr="00D73ADA">
              <w:rPr>
                <w:b/>
              </w:rPr>
              <w:t>Estimate</w:t>
            </w:r>
          </w:p>
        </w:tc>
        <w:tc>
          <w:tcPr>
            <w:tcW w:w="1821" w:type="dxa"/>
          </w:tcPr>
          <w:p w14:paraId="2C56D042" w14:textId="77777777" w:rsidR="004F3510" w:rsidRPr="00D73ADA" w:rsidRDefault="004F3510" w:rsidP="004F3510">
            <w:pPr>
              <w:jc w:val="center"/>
              <w:rPr>
                <w:b/>
              </w:rPr>
            </w:pPr>
            <w:r w:rsidRPr="00D73ADA">
              <w:rPr>
                <w:b/>
              </w:rPr>
              <w:t>Estimate</w:t>
            </w:r>
          </w:p>
        </w:tc>
        <w:tc>
          <w:tcPr>
            <w:tcW w:w="1822" w:type="dxa"/>
          </w:tcPr>
          <w:p w14:paraId="1980383D" w14:textId="77777777" w:rsidR="004F3510" w:rsidRPr="00D73ADA" w:rsidRDefault="004F3510" w:rsidP="004F3510">
            <w:pPr>
              <w:jc w:val="center"/>
              <w:rPr>
                <w:b/>
              </w:rPr>
            </w:pPr>
            <w:r w:rsidRPr="00D73ADA">
              <w:rPr>
                <w:b/>
              </w:rPr>
              <w:t>Estimate</w:t>
            </w:r>
          </w:p>
        </w:tc>
        <w:tc>
          <w:tcPr>
            <w:tcW w:w="1822" w:type="dxa"/>
          </w:tcPr>
          <w:p w14:paraId="66FA41D7" w14:textId="77777777" w:rsidR="004F3510" w:rsidRPr="00D73ADA" w:rsidRDefault="004F3510" w:rsidP="004F3510">
            <w:pPr>
              <w:jc w:val="center"/>
              <w:rPr>
                <w:b/>
              </w:rPr>
            </w:pPr>
            <w:r w:rsidRPr="00D73ADA">
              <w:rPr>
                <w:b/>
              </w:rPr>
              <w:t>Estimate</w:t>
            </w:r>
          </w:p>
        </w:tc>
      </w:tr>
      <w:tr w:rsidR="004F3510" w:rsidRPr="001143BB" w14:paraId="2D8A8718" w14:textId="77777777" w:rsidTr="003E72E2">
        <w:tc>
          <w:tcPr>
            <w:tcW w:w="1821" w:type="dxa"/>
          </w:tcPr>
          <w:p w14:paraId="4BE2CE49" w14:textId="77777777" w:rsidR="004F3510" w:rsidRPr="00F861B8" w:rsidRDefault="004F3510" w:rsidP="00221A79">
            <w:pPr>
              <w:spacing w:after="120"/>
              <w:jc w:val="center"/>
              <w:rPr>
                <w:b/>
              </w:rPr>
            </w:pPr>
            <w:r w:rsidRPr="00F861B8">
              <w:rPr>
                <w:b/>
              </w:rPr>
              <w:t>£</w:t>
            </w:r>
            <w:r w:rsidR="00221A79" w:rsidRPr="00F861B8">
              <w:rPr>
                <w:b/>
              </w:rPr>
              <w:t>m</w:t>
            </w:r>
          </w:p>
        </w:tc>
        <w:tc>
          <w:tcPr>
            <w:tcW w:w="1822" w:type="dxa"/>
          </w:tcPr>
          <w:p w14:paraId="5710A30E" w14:textId="77777777" w:rsidR="004F3510" w:rsidRPr="00D73ADA" w:rsidRDefault="004F3510" w:rsidP="00221A79">
            <w:pPr>
              <w:spacing w:after="120"/>
              <w:jc w:val="center"/>
              <w:rPr>
                <w:b/>
              </w:rPr>
            </w:pPr>
            <w:r w:rsidRPr="00D73ADA">
              <w:rPr>
                <w:b/>
              </w:rPr>
              <w:t>£</w:t>
            </w:r>
            <w:r w:rsidR="00221A79" w:rsidRPr="00D73ADA">
              <w:rPr>
                <w:b/>
              </w:rPr>
              <w:t>m</w:t>
            </w:r>
          </w:p>
        </w:tc>
        <w:tc>
          <w:tcPr>
            <w:tcW w:w="1821" w:type="dxa"/>
          </w:tcPr>
          <w:p w14:paraId="344C3670" w14:textId="77777777" w:rsidR="004F3510" w:rsidRPr="00D73ADA" w:rsidRDefault="004F3510" w:rsidP="00221A79">
            <w:pPr>
              <w:spacing w:after="120"/>
              <w:jc w:val="center"/>
              <w:rPr>
                <w:b/>
              </w:rPr>
            </w:pPr>
            <w:r w:rsidRPr="00D73ADA">
              <w:rPr>
                <w:b/>
              </w:rPr>
              <w:t>£</w:t>
            </w:r>
            <w:r w:rsidR="00F637E1" w:rsidRPr="00D73ADA">
              <w:rPr>
                <w:b/>
              </w:rPr>
              <w:t>m</w:t>
            </w:r>
          </w:p>
        </w:tc>
        <w:tc>
          <w:tcPr>
            <w:tcW w:w="1822" w:type="dxa"/>
          </w:tcPr>
          <w:p w14:paraId="6AD1452B" w14:textId="77777777" w:rsidR="004F3510" w:rsidRPr="00D73ADA" w:rsidRDefault="004F3510" w:rsidP="00221A79">
            <w:pPr>
              <w:spacing w:after="120"/>
              <w:jc w:val="center"/>
              <w:rPr>
                <w:b/>
              </w:rPr>
            </w:pPr>
            <w:r w:rsidRPr="00D73ADA">
              <w:rPr>
                <w:b/>
              </w:rPr>
              <w:t>£</w:t>
            </w:r>
            <w:r w:rsidR="00221A79" w:rsidRPr="00D73ADA">
              <w:rPr>
                <w:b/>
              </w:rPr>
              <w:t>m</w:t>
            </w:r>
          </w:p>
        </w:tc>
        <w:tc>
          <w:tcPr>
            <w:tcW w:w="1822" w:type="dxa"/>
          </w:tcPr>
          <w:p w14:paraId="795784B2" w14:textId="77777777" w:rsidR="004F3510" w:rsidRPr="00D73ADA" w:rsidRDefault="004F3510" w:rsidP="00221A79">
            <w:pPr>
              <w:spacing w:after="120"/>
              <w:jc w:val="center"/>
              <w:rPr>
                <w:b/>
              </w:rPr>
            </w:pPr>
            <w:r w:rsidRPr="00D73ADA">
              <w:rPr>
                <w:b/>
              </w:rPr>
              <w:t>£</w:t>
            </w:r>
            <w:r w:rsidR="00221A79" w:rsidRPr="00D73ADA">
              <w:rPr>
                <w:b/>
              </w:rPr>
              <w:t>m</w:t>
            </w:r>
          </w:p>
        </w:tc>
      </w:tr>
      <w:tr w:rsidR="004F3510" w:rsidRPr="001143BB" w14:paraId="20EB2BB3" w14:textId="77777777" w:rsidTr="003E72E2">
        <w:tc>
          <w:tcPr>
            <w:tcW w:w="1821" w:type="dxa"/>
          </w:tcPr>
          <w:p w14:paraId="366D62E2" w14:textId="77777777" w:rsidR="004F3510" w:rsidRPr="00F861B8" w:rsidRDefault="009736FD" w:rsidP="00931FB3">
            <w:pPr>
              <w:spacing w:after="240"/>
              <w:jc w:val="center"/>
            </w:pPr>
            <w:r>
              <w:t>186.077</w:t>
            </w:r>
          </w:p>
        </w:tc>
        <w:tc>
          <w:tcPr>
            <w:tcW w:w="1822" w:type="dxa"/>
          </w:tcPr>
          <w:p w14:paraId="1D7756AA" w14:textId="77777777" w:rsidR="004F3510" w:rsidRPr="00D73ADA" w:rsidRDefault="009736FD" w:rsidP="00931FB3">
            <w:pPr>
              <w:spacing w:after="240"/>
              <w:jc w:val="center"/>
            </w:pPr>
            <w:r>
              <w:t>151.510</w:t>
            </w:r>
          </w:p>
        </w:tc>
        <w:tc>
          <w:tcPr>
            <w:tcW w:w="1821" w:type="dxa"/>
          </w:tcPr>
          <w:p w14:paraId="06447414" w14:textId="49D7622B" w:rsidR="004F3510" w:rsidRPr="00D73ADA" w:rsidRDefault="0074700A" w:rsidP="00931FB3">
            <w:pPr>
              <w:spacing w:after="240"/>
              <w:jc w:val="center"/>
            </w:pPr>
            <w:r>
              <w:t>126.184</w:t>
            </w:r>
          </w:p>
        </w:tc>
        <w:tc>
          <w:tcPr>
            <w:tcW w:w="1822" w:type="dxa"/>
          </w:tcPr>
          <w:p w14:paraId="0B25DF36" w14:textId="77777777" w:rsidR="004F3510" w:rsidRPr="00D73ADA" w:rsidRDefault="009736FD" w:rsidP="00931FB3">
            <w:pPr>
              <w:spacing w:after="240"/>
              <w:jc w:val="center"/>
            </w:pPr>
            <w:r>
              <w:t>94.993</w:t>
            </w:r>
          </w:p>
        </w:tc>
        <w:tc>
          <w:tcPr>
            <w:tcW w:w="1822" w:type="dxa"/>
          </w:tcPr>
          <w:p w14:paraId="46F0DA15" w14:textId="77777777" w:rsidR="004F3510" w:rsidRPr="00D73ADA" w:rsidRDefault="009736FD" w:rsidP="00931FB3">
            <w:pPr>
              <w:spacing w:after="240"/>
              <w:jc w:val="center"/>
            </w:pPr>
            <w:r>
              <w:t>26.081</w:t>
            </w:r>
          </w:p>
        </w:tc>
      </w:tr>
    </w:tbl>
    <w:p w14:paraId="2040953E" w14:textId="77777777" w:rsidR="00186F66" w:rsidRDefault="00186F66" w:rsidP="00186F66">
      <w:pPr>
        <w:jc w:val="both"/>
      </w:pPr>
    </w:p>
    <w:p w14:paraId="675E2282" w14:textId="77777777" w:rsidR="005F770C" w:rsidRDefault="004F3510" w:rsidP="00186F66">
      <w:pPr>
        <w:jc w:val="both"/>
      </w:pPr>
      <w:r w:rsidRPr="002A48EA">
        <w:t xml:space="preserve">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w:t>
      </w:r>
      <w:r w:rsidR="00221A79" w:rsidRPr="002A48EA">
        <w:t xml:space="preserve">day to day borrowing requirements incorporate the effect of </w:t>
      </w:r>
      <w:r w:rsidRPr="002A48EA">
        <w:t xml:space="preserve">cash flow movements relating to </w:t>
      </w:r>
      <w:r w:rsidR="00221A79" w:rsidRPr="002A48EA">
        <w:t xml:space="preserve">both </w:t>
      </w:r>
      <w:r w:rsidRPr="002A48EA">
        <w:t xml:space="preserve">capital and revenue </w:t>
      </w:r>
      <w:r w:rsidR="00221A79" w:rsidRPr="002A48EA">
        <w:t>expenditure and income</w:t>
      </w:r>
      <w:r w:rsidRPr="002A48EA">
        <w:t>.  The estimate of the capital financing requirement for each year is as follows</w:t>
      </w:r>
      <w:r w:rsidR="00E8740A" w:rsidRPr="002A48EA">
        <w:t>, and includes the impact of PFI obligations.</w:t>
      </w:r>
    </w:p>
    <w:p w14:paraId="68AA36D3" w14:textId="77777777" w:rsidR="00186F66" w:rsidRPr="00D635B5" w:rsidRDefault="00186F66" w:rsidP="00186F66">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14:paraId="7A790275" w14:textId="77777777" w:rsidTr="003E72E2">
        <w:tc>
          <w:tcPr>
            <w:tcW w:w="1821" w:type="dxa"/>
          </w:tcPr>
          <w:p w14:paraId="215ED355" w14:textId="77777777" w:rsidR="003E72E2" w:rsidRPr="00931FB3" w:rsidRDefault="00291641" w:rsidP="00E83AEB">
            <w:pPr>
              <w:jc w:val="center"/>
              <w:rPr>
                <w:b/>
              </w:rPr>
            </w:pPr>
            <w:r w:rsidRPr="002A48EA">
              <w:rPr>
                <w:b/>
                <w:caps/>
              </w:rPr>
              <w:t>201</w:t>
            </w:r>
            <w:r w:rsidR="00E83AEB">
              <w:rPr>
                <w:b/>
                <w:caps/>
              </w:rPr>
              <w:t>5</w:t>
            </w:r>
            <w:r w:rsidR="003E72E2" w:rsidRPr="002A48EA">
              <w:rPr>
                <w:b/>
                <w:caps/>
              </w:rPr>
              <w:t>/1</w:t>
            </w:r>
            <w:r w:rsidR="00E83AEB">
              <w:rPr>
                <w:b/>
                <w:caps/>
              </w:rPr>
              <w:t>6</w:t>
            </w:r>
          </w:p>
        </w:tc>
        <w:tc>
          <w:tcPr>
            <w:tcW w:w="1822" w:type="dxa"/>
          </w:tcPr>
          <w:p w14:paraId="4DDE3241" w14:textId="77777777" w:rsidR="003E72E2" w:rsidRPr="002A48EA" w:rsidRDefault="003E72E2" w:rsidP="00E83AEB">
            <w:pPr>
              <w:jc w:val="center"/>
              <w:rPr>
                <w:b/>
              </w:rPr>
            </w:pPr>
            <w:r w:rsidRPr="002A48EA">
              <w:rPr>
                <w:b/>
              </w:rPr>
              <w:t>201</w:t>
            </w:r>
            <w:r w:rsidR="00E83AEB">
              <w:rPr>
                <w:b/>
              </w:rPr>
              <w:t>6</w:t>
            </w:r>
            <w:r w:rsidRPr="002A48EA">
              <w:rPr>
                <w:b/>
              </w:rPr>
              <w:t>/1</w:t>
            </w:r>
            <w:r w:rsidR="00E83AEB">
              <w:rPr>
                <w:b/>
              </w:rPr>
              <w:t>7</w:t>
            </w:r>
          </w:p>
        </w:tc>
        <w:tc>
          <w:tcPr>
            <w:tcW w:w="1821" w:type="dxa"/>
          </w:tcPr>
          <w:p w14:paraId="603AC14D" w14:textId="77777777" w:rsidR="003E72E2" w:rsidRPr="002A48EA" w:rsidRDefault="003E72E2" w:rsidP="00E83AEB">
            <w:pPr>
              <w:jc w:val="center"/>
              <w:rPr>
                <w:b/>
              </w:rPr>
            </w:pPr>
            <w:r w:rsidRPr="002A48EA">
              <w:rPr>
                <w:b/>
              </w:rPr>
              <w:t>201</w:t>
            </w:r>
            <w:r w:rsidR="00E83AEB">
              <w:rPr>
                <w:b/>
              </w:rPr>
              <w:t>7</w:t>
            </w:r>
            <w:r w:rsidRPr="002A48EA">
              <w:rPr>
                <w:b/>
              </w:rPr>
              <w:t>/1</w:t>
            </w:r>
            <w:r w:rsidR="00E83AEB">
              <w:rPr>
                <w:b/>
              </w:rPr>
              <w:t>8</w:t>
            </w:r>
          </w:p>
        </w:tc>
        <w:tc>
          <w:tcPr>
            <w:tcW w:w="1822" w:type="dxa"/>
          </w:tcPr>
          <w:p w14:paraId="49169112" w14:textId="77777777" w:rsidR="003E72E2" w:rsidRPr="002A48EA" w:rsidRDefault="003E72E2" w:rsidP="00E83AEB">
            <w:pPr>
              <w:jc w:val="center"/>
              <w:rPr>
                <w:b/>
              </w:rPr>
            </w:pPr>
            <w:r w:rsidRPr="002A48EA">
              <w:rPr>
                <w:b/>
              </w:rPr>
              <w:t>201</w:t>
            </w:r>
            <w:r w:rsidR="00E83AEB">
              <w:rPr>
                <w:b/>
              </w:rPr>
              <w:t>8</w:t>
            </w:r>
            <w:r w:rsidRPr="002A48EA">
              <w:rPr>
                <w:b/>
              </w:rPr>
              <w:t>/1</w:t>
            </w:r>
            <w:r w:rsidR="00E83AEB">
              <w:rPr>
                <w:b/>
              </w:rPr>
              <w:t>9</w:t>
            </w:r>
          </w:p>
        </w:tc>
        <w:tc>
          <w:tcPr>
            <w:tcW w:w="1822" w:type="dxa"/>
          </w:tcPr>
          <w:p w14:paraId="01C8412D" w14:textId="77777777" w:rsidR="003E72E2" w:rsidRPr="002A48EA" w:rsidRDefault="003E72E2" w:rsidP="00E83AEB">
            <w:pPr>
              <w:jc w:val="center"/>
              <w:rPr>
                <w:b/>
              </w:rPr>
            </w:pPr>
            <w:r w:rsidRPr="002A48EA">
              <w:rPr>
                <w:b/>
              </w:rPr>
              <w:t>201</w:t>
            </w:r>
            <w:r w:rsidR="00E83AEB">
              <w:rPr>
                <w:b/>
              </w:rPr>
              <w:t>9</w:t>
            </w:r>
            <w:r>
              <w:rPr>
                <w:b/>
              </w:rPr>
              <w:t>/</w:t>
            </w:r>
            <w:r w:rsidR="00E83AEB">
              <w:rPr>
                <w:b/>
              </w:rPr>
              <w:t>20</w:t>
            </w:r>
          </w:p>
        </w:tc>
      </w:tr>
      <w:tr w:rsidR="004F3510" w:rsidRPr="001143BB" w14:paraId="505F2B6E" w14:textId="77777777" w:rsidTr="003E72E2">
        <w:tc>
          <w:tcPr>
            <w:tcW w:w="1821" w:type="dxa"/>
          </w:tcPr>
          <w:p w14:paraId="0F603BAB" w14:textId="77777777" w:rsidR="004F3510" w:rsidRPr="00931FB3" w:rsidRDefault="004F3510" w:rsidP="004F3510">
            <w:pPr>
              <w:jc w:val="center"/>
              <w:rPr>
                <w:b/>
              </w:rPr>
            </w:pPr>
            <w:r w:rsidRPr="00931FB3">
              <w:rPr>
                <w:b/>
              </w:rPr>
              <w:t>Actual</w:t>
            </w:r>
          </w:p>
        </w:tc>
        <w:tc>
          <w:tcPr>
            <w:tcW w:w="1822" w:type="dxa"/>
          </w:tcPr>
          <w:p w14:paraId="79DDCE95" w14:textId="77777777" w:rsidR="004F3510" w:rsidRPr="002A48EA" w:rsidRDefault="004F3510" w:rsidP="004F3510">
            <w:pPr>
              <w:jc w:val="center"/>
              <w:rPr>
                <w:b/>
              </w:rPr>
            </w:pPr>
            <w:r w:rsidRPr="002A48EA">
              <w:rPr>
                <w:b/>
              </w:rPr>
              <w:t>Estimate</w:t>
            </w:r>
          </w:p>
        </w:tc>
        <w:tc>
          <w:tcPr>
            <w:tcW w:w="1821" w:type="dxa"/>
          </w:tcPr>
          <w:p w14:paraId="4D4B2490" w14:textId="77777777" w:rsidR="004F3510" w:rsidRPr="002A48EA" w:rsidRDefault="004F3510" w:rsidP="004F3510">
            <w:pPr>
              <w:jc w:val="center"/>
              <w:rPr>
                <w:b/>
              </w:rPr>
            </w:pPr>
            <w:r w:rsidRPr="002A48EA">
              <w:rPr>
                <w:b/>
              </w:rPr>
              <w:t>Estimate</w:t>
            </w:r>
          </w:p>
        </w:tc>
        <w:tc>
          <w:tcPr>
            <w:tcW w:w="1822" w:type="dxa"/>
          </w:tcPr>
          <w:p w14:paraId="56C67AA8" w14:textId="77777777" w:rsidR="004F3510" w:rsidRPr="002A48EA" w:rsidRDefault="004F3510" w:rsidP="004F3510">
            <w:pPr>
              <w:jc w:val="center"/>
              <w:rPr>
                <w:b/>
              </w:rPr>
            </w:pPr>
            <w:r w:rsidRPr="002A48EA">
              <w:rPr>
                <w:b/>
              </w:rPr>
              <w:t>Estimate</w:t>
            </w:r>
          </w:p>
        </w:tc>
        <w:tc>
          <w:tcPr>
            <w:tcW w:w="1822" w:type="dxa"/>
          </w:tcPr>
          <w:p w14:paraId="175C70C6" w14:textId="77777777" w:rsidR="004F3510" w:rsidRPr="002A48EA" w:rsidRDefault="004F3510" w:rsidP="004F3510">
            <w:pPr>
              <w:jc w:val="center"/>
              <w:rPr>
                <w:b/>
              </w:rPr>
            </w:pPr>
            <w:r w:rsidRPr="002A48EA">
              <w:rPr>
                <w:b/>
              </w:rPr>
              <w:t>Estimate</w:t>
            </w:r>
          </w:p>
        </w:tc>
      </w:tr>
      <w:tr w:rsidR="004F3510" w:rsidRPr="001143BB" w14:paraId="7645135E" w14:textId="77777777" w:rsidTr="003E72E2">
        <w:tc>
          <w:tcPr>
            <w:tcW w:w="1821" w:type="dxa"/>
          </w:tcPr>
          <w:p w14:paraId="6E11EA15" w14:textId="77777777" w:rsidR="004F3510" w:rsidRPr="00931FB3" w:rsidRDefault="004F3510" w:rsidP="00221A79">
            <w:pPr>
              <w:spacing w:after="120"/>
              <w:jc w:val="center"/>
              <w:rPr>
                <w:b/>
              </w:rPr>
            </w:pPr>
            <w:r w:rsidRPr="00931FB3">
              <w:rPr>
                <w:b/>
              </w:rPr>
              <w:t>£</w:t>
            </w:r>
            <w:r w:rsidR="00221A79" w:rsidRPr="00931FB3">
              <w:rPr>
                <w:b/>
              </w:rPr>
              <w:t>m</w:t>
            </w:r>
          </w:p>
        </w:tc>
        <w:tc>
          <w:tcPr>
            <w:tcW w:w="1822" w:type="dxa"/>
          </w:tcPr>
          <w:p w14:paraId="404E20A3" w14:textId="77777777" w:rsidR="004F3510" w:rsidRPr="002A48EA" w:rsidRDefault="004F3510" w:rsidP="00221A79">
            <w:pPr>
              <w:spacing w:after="120"/>
              <w:jc w:val="center"/>
              <w:rPr>
                <w:b/>
              </w:rPr>
            </w:pPr>
            <w:r w:rsidRPr="002A48EA">
              <w:rPr>
                <w:b/>
              </w:rPr>
              <w:t>£</w:t>
            </w:r>
            <w:r w:rsidR="00221A79" w:rsidRPr="002A48EA">
              <w:rPr>
                <w:b/>
              </w:rPr>
              <w:t>m</w:t>
            </w:r>
          </w:p>
        </w:tc>
        <w:tc>
          <w:tcPr>
            <w:tcW w:w="1821" w:type="dxa"/>
          </w:tcPr>
          <w:p w14:paraId="1046F48B" w14:textId="77777777" w:rsidR="004F3510" w:rsidRPr="002A48EA" w:rsidRDefault="004F3510" w:rsidP="00221A79">
            <w:pPr>
              <w:spacing w:after="120"/>
              <w:jc w:val="center"/>
              <w:rPr>
                <w:b/>
              </w:rPr>
            </w:pPr>
            <w:r w:rsidRPr="002A48EA">
              <w:rPr>
                <w:b/>
              </w:rPr>
              <w:t>£</w:t>
            </w:r>
            <w:r w:rsidR="00221A79" w:rsidRPr="002A48EA">
              <w:rPr>
                <w:b/>
              </w:rPr>
              <w:t>m</w:t>
            </w:r>
          </w:p>
        </w:tc>
        <w:tc>
          <w:tcPr>
            <w:tcW w:w="1822" w:type="dxa"/>
          </w:tcPr>
          <w:p w14:paraId="0D203E7C" w14:textId="77777777" w:rsidR="004F3510" w:rsidRPr="002A48EA" w:rsidRDefault="004F3510" w:rsidP="00221A79">
            <w:pPr>
              <w:spacing w:after="120"/>
              <w:jc w:val="center"/>
              <w:rPr>
                <w:b/>
              </w:rPr>
            </w:pPr>
            <w:r w:rsidRPr="002A48EA">
              <w:rPr>
                <w:b/>
              </w:rPr>
              <w:t>£</w:t>
            </w:r>
            <w:r w:rsidR="00221A79" w:rsidRPr="002A48EA">
              <w:rPr>
                <w:b/>
              </w:rPr>
              <w:t>m</w:t>
            </w:r>
          </w:p>
        </w:tc>
        <w:tc>
          <w:tcPr>
            <w:tcW w:w="1822" w:type="dxa"/>
          </w:tcPr>
          <w:p w14:paraId="2909C130" w14:textId="77777777" w:rsidR="004F3510" w:rsidRPr="002A48EA" w:rsidRDefault="004F3510" w:rsidP="00221A79">
            <w:pPr>
              <w:spacing w:after="120"/>
              <w:jc w:val="center"/>
              <w:rPr>
                <w:b/>
              </w:rPr>
            </w:pPr>
            <w:r w:rsidRPr="002A48EA">
              <w:rPr>
                <w:b/>
              </w:rPr>
              <w:t>£</w:t>
            </w:r>
            <w:r w:rsidR="00221A79" w:rsidRPr="002A48EA">
              <w:rPr>
                <w:b/>
              </w:rPr>
              <w:t>m</w:t>
            </w:r>
          </w:p>
        </w:tc>
      </w:tr>
      <w:tr w:rsidR="004F3510" w:rsidRPr="001143BB" w14:paraId="50A68BC0" w14:textId="77777777" w:rsidTr="003E72E2">
        <w:tc>
          <w:tcPr>
            <w:tcW w:w="1821" w:type="dxa"/>
          </w:tcPr>
          <w:p w14:paraId="5305018C" w14:textId="77777777" w:rsidR="004F3510" w:rsidRPr="00D73ADA" w:rsidRDefault="009736FD">
            <w:pPr>
              <w:spacing w:after="240"/>
              <w:jc w:val="center"/>
            </w:pPr>
            <w:r>
              <w:t>978.363</w:t>
            </w:r>
          </w:p>
        </w:tc>
        <w:tc>
          <w:tcPr>
            <w:tcW w:w="1822" w:type="dxa"/>
          </w:tcPr>
          <w:p w14:paraId="02193034" w14:textId="77777777" w:rsidR="004F3510" w:rsidRPr="00D73ADA" w:rsidRDefault="009736FD">
            <w:pPr>
              <w:spacing w:after="240"/>
              <w:jc w:val="center"/>
            </w:pPr>
            <w:r>
              <w:t>1,006.001</w:t>
            </w:r>
          </w:p>
        </w:tc>
        <w:tc>
          <w:tcPr>
            <w:tcW w:w="1821" w:type="dxa"/>
          </w:tcPr>
          <w:p w14:paraId="1B5AF44A" w14:textId="77777777" w:rsidR="004F3510" w:rsidRPr="00D73ADA" w:rsidRDefault="009736FD">
            <w:pPr>
              <w:spacing w:after="240"/>
              <w:jc w:val="center"/>
            </w:pPr>
            <w:r>
              <w:t>1,002.377</w:t>
            </w:r>
          </w:p>
        </w:tc>
        <w:tc>
          <w:tcPr>
            <w:tcW w:w="1822" w:type="dxa"/>
          </w:tcPr>
          <w:p w14:paraId="0B5A739C" w14:textId="77777777" w:rsidR="004F3510" w:rsidRPr="00D73ADA" w:rsidRDefault="009736FD">
            <w:pPr>
              <w:spacing w:after="240"/>
              <w:jc w:val="center"/>
            </w:pPr>
            <w:r>
              <w:t>1,034.997</w:t>
            </w:r>
          </w:p>
        </w:tc>
        <w:tc>
          <w:tcPr>
            <w:tcW w:w="1822" w:type="dxa"/>
          </w:tcPr>
          <w:p w14:paraId="2811DF0C" w14:textId="77777777" w:rsidR="004F3510" w:rsidRPr="00D73ADA" w:rsidRDefault="009736FD">
            <w:pPr>
              <w:spacing w:after="240"/>
              <w:jc w:val="center"/>
            </w:pPr>
            <w:r>
              <w:t>1,030.053</w:t>
            </w:r>
          </w:p>
        </w:tc>
      </w:tr>
    </w:tbl>
    <w:p w14:paraId="1C69A03C" w14:textId="77777777" w:rsidR="00186F66" w:rsidRDefault="00186F66" w:rsidP="004F3510">
      <w:pPr>
        <w:pStyle w:val="Heading3"/>
      </w:pPr>
    </w:p>
    <w:p w14:paraId="204C2E07" w14:textId="65062B8B" w:rsidR="004F3510" w:rsidRDefault="004F3510" w:rsidP="004F3510">
      <w:pPr>
        <w:pStyle w:val="Heading3"/>
      </w:pPr>
      <w:r w:rsidRPr="00F861B8">
        <w:t>Prudence and Affordability</w:t>
      </w:r>
    </w:p>
    <w:p w14:paraId="32A5C454" w14:textId="77777777" w:rsidR="00186F66" w:rsidRPr="00186F66" w:rsidRDefault="00186F66" w:rsidP="00186F66"/>
    <w:p w14:paraId="258E7DE3" w14:textId="77777777" w:rsidR="004F3510" w:rsidRPr="00F861B8" w:rsidRDefault="004F3510" w:rsidP="00194D26">
      <w:pPr>
        <w:jc w:val="both"/>
      </w:pPr>
      <w:r w:rsidRPr="00F861B8">
        <w:t>CIPFA's Prudential Code for Capital Finance in Local Authorities states the following as a key indicator of prudence:</w:t>
      </w:r>
    </w:p>
    <w:p w14:paraId="668041E8" w14:textId="77777777" w:rsidR="00877552" w:rsidRPr="00F861B8" w:rsidRDefault="00877552" w:rsidP="00194D26">
      <w:pPr>
        <w:jc w:val="both"/>
      </w:pPr>
    </w:p>
    <w:p w14:paraId="616D5651" w14:textId="77777777" w:rsidR="004F3510" w:rsidRPr="00F861B8" w:rsidRDefault="004F3510" w:rsidP="00194D26">
      <w:pPr>
        <w:pStyle w:val="BodyTextIndent"/>
        <w:spacing w:after="0"/>
        <w:ind w:left="0"/>
        <w:jc w:val="both"/>
      </w:pPr>
      <w:r w:rsidRPr="00F861B8">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p>
    <w:p w14:paraId="3A9556FD" w14:textId="77777777" w:rsidR="00877552" w:rsidRPr="00F861B8" w:rsidRDefault="00877552" w:rsidP="00194D26">
      <w:pPr>
        <w:pStyle w:val="BodyTextIndent"/>
        <w:spacing w:after="0"/>
        <w:ind w:left="0"/>
        <w:jc w:val="both"/>
      </w:pPr>
    </w:p>
    <w:p w14:paraId="0E370187" w14:textId="77777777" w:rsidR="004F3510" w:rsidRPr="00F861B8" w:rsidRDefault="004F3510" w:rsidP="00194D26">
      <w:pPr>
        <w:jc w:val="both"/>
      </w:pPr>
      <w:r w:rsidRPr="00F861B8">
        <w:t xml:space="preserve">The </w:t>
      </w:r>
      <w:r w:rsidR="00043461" w:rsidRPr="00F861B8">
        <w:t>county c</w:t>
      </w:r>
      <w:r w:rsidR="00B4481D" w:rsidRPr="00F861B8">
        <w:t>ouncil's financial plans are prepared on this basis and, indeed the policy on borrowing in advance of need explicitly references this statement as part of the decision making criteria.</w:t>
      </w:r>
    </w:p>
    <w:p w14:paraId="6F4254CF" w14:textId="77777777" w:rsidR="00877552" w:rsidRPr="00F861B8" w:rsidRDefault="00877552" w:rsidP="00194D26">
      <w:pPr>
        <w:jc w:val="both"/>
      </w:pPr>
    </w:p>
    <w:p w14:paraId="5EBC6EF3" w14:textId="77777777" w:rsidR="00877552" w:rsidRPr="00F861B8" w:rsidRDefault="004F3510" w:rsidP="00194D26">
      <w:pPr>
        <w:jc w:val="both"/>
      </w:pPr>
      <w:r w:rsidRPr="00F861B8">
        <w:t xml:space="preserve">It is important to ensure that the plans for capital expenditure and borrowing are affordable in the long term.  To this purpose the code requires an indicator which estimates the ratio of financing costs to </w:t>
      </w:r>
      <w:r w:rsidR="007E527B" w:rsidRPr="00F861B8">
        <w:t xml:space="preserve">the </w:t>
      </w:r>
      <w:r w:rsidRPr="00F861B8">
        <w:t>net revenue stream.</w:t>
      </w:r>
    </w:p>
    <w:p w14:paraId="7DF953E3" w14:textId="77777777" w:rsidR="00877552" w:rsidRPr="00F861B8" w:rsidRDefault="00877552" w:rsidP="00194D26">
      <w:pPr>
        <w:jc w:val="both"/>
      </w:pPr>
    </w:p>
    <w:p w14:paraId="61143615" w14:textId="77777777" w:rsidR="004F3510" w:rsidRPr="00F861B8" w:rsidRDefault="004F3510" w:rsidP="00194D26">
      <w:pPr>
        <w:jc w:val="both"/>
      </w:pPr>
      <w:r w:rsidRPr="00F861B8">
        <w:t xml:space="preserve">The financing costs are the interest payable on borrowing, finance lease or other long term liabilities and the amount defined by statute which needs to be charged to revenue to reflect the repayment of the principal element of the </w:t>
      </w:r>
      <w:r w:rsidR="00043461" w:rsidRPr="00F861B8">
        <w:t>c</w:t>
      </w:r>
      <w:r w:rsidR="00F25AD0" w:rsidRPr="00F861B8">
        <w:t>ounty council</w:t>
      </w:r>
      <w:r w:rsidRPr="00F861B8">
        <w:t>’s borrowing.  Any additional payments in excess of the statutory amount or the cost of early repayment or rescheduling of debt would be included within the financing cost.  Financing costs are expressed net of investment income.</w:t>
      </w:r>
    </w:p>
    <w:p w14:paraId="5F6B9EF7" w14:textId="77777777" w:rsidR="00DC7850" w:rsidRDefault="00DC7850" w:rsidP="00194D26">
      <w:pPr>
        <w:pStyle w:val="BodyTextIndent"/>
        <w:spacing w:after="0"/>
        <w:ind w:left="0"/>
        <w:jc w:val="both"/>
      </w:pPr>
    </w:p>
    <w:p w14:paraId="3EBE53AE" w14:textId="77777777" w:rsidR="004F3510" w:rsidRDefault="004F3510" w:rsidP="00194D26">
      <w:pPr>
        <w:pStyle w:val="BodyTextIndent"/>
        <w:spacing w:after="0"/>
        <w:ind w:left="0"/>
        <w:jc w:val="both"/>
      </w:pPr>
      <w:r w:rsidRPr="00F861B8">
        <w:t>The net revenue stream is defined as the amount required to be funded from Government Grants and local taxpayers, in effect the budget requirement.</w:t>
      </w:r>
    </w:p>
    <w:p w14:paraId="269D0DE8" w14:textId="77777777" w:rsidR="00DC7850" w:rsidRPr="00F861B8" w:rsidRDefault="00DC7850" w:rsidP="00194D26">
      <w:pPr>
        <w:pStyle w:val="BodyTextIndent"/>
        <w:spacing w:after="0"/>
        <w:ind w:left="0"/>
        <w:jc w:val="both"/>
      </w:pPr>
    </w:p>
    <w:p w14:paraId="722B52FF" w14:textId="77777777" w:rsidR="004F3510" w:rsidRDefault="004F3510" w:rsidP="00194D26">
      <w:pPr>
        <w:jc w:val="both"/>
      </w:pPr>
      <w:r w:rsidRPr="00F861B8">
        <w:t>Estimates of the ratio of financing costs to net revenue (or budget requirement) are as follows:</w:t>
      </w:r>
    </w:p>
    <w:p w14:paraId="031BF90D" w14:textId="77777777" w:rsidR="00C2176F" w:rsidRPr="001143BB" w:rsidRDefault="00C2176F" w:rsidP="00877552">
      <w:pPr>
        <w:rPr>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gridCol w:w="2277"/>
      </w:tblGrid>
      <w:tr w:rsidR="003E72E2" w:rsidRPr="001143BB" w14:paraId="538F4594" w14:textId="77777777" w:rsidTr="003E72E2">
        <w:tc>
          <w:tcPr>
            <w:tcW w:w="2277" w:type="dxa"/>
          </w:tcPr>
          <w:p w14:paraId="632E174D" w14:textId="77777777" w:rsidR="003E72E2" w:rsidRPr="00F861B8" w:rsidRDefault="003E72E2" w:rsidP="00E83AEB">
            <w:pPr>
              <w:jc w:val="center"/>
              <w:rPr>
                <w:b/>
              </w:rPr>
            </w:pPr>
            <w:r w:rsidRPr="00E50DF8">
              <w:rPr>
                <w:b/>
              </w:rPr>
              <w:t>201</w:t>
            </w:r>
            <w:r w:rsidR="00E83AEB">
              <w:rPr>
                <w:b/>
              </w:rPr>
              <w:t>6</w:t>
            </w:r>
            <w:r w:rsidRPr="00E50DF8">
              <w:rPr>
                <w:b/>
              </w:rPr>
              <w:t>/1</w:t>
            </w:r>
            <w:r w:rsidR="00E83AEB">
              <w:rPr>
                <w:b/>
              </w:rPr>
              <w:t>7</w:t>
            </w:r>
          </w:p>
        </w:tc>
        <w:tc>
          <w:tcPr>
            <w:tcW w:w="2277" w:type="dxa"/>
          </w:tcPr>
          <w:p w14:paraId="7A40CBEC" w14:textId="77777777" w:rsidR="003E72E2" w:rsidRPr="00F861B8" w:rsidRDefault="003E72E2" w:rsidP="00E83AEB">
            <w:pPr>
              <w:jc w:val="center"/>
              <w:rPr>
                <w:b/>
              </w:rPr>
            </w:pPr>
            <w:r w:rsidRPr="00E50DF8">
              <w:rPr>
                <w:b/>
              </w:rPr>
              <w:t>201</w:t>
            </w:r>
            <w:r w:rsidR="00E83AEB">
              <w:rPr>
                <w:b/>
              </w:rPr>
              <w:t>7</w:t>
            </w:r>
            <w:r w:rsidRPr="00E50DF8">
              <w:rPr>
                <w:b/>
              </w:rPr>
              <w:t>/1</w:t>
            </w:r>
            <w:r w:rsidR="00E83AEB">
              <w:rPr>
                <w:b/>
              </w:rPr>
              <w:t>8</w:t>
            </w:r>
          </w:p>
        </w:tc>
        <w:tc>
          <w:tcPr>
            <w:tcW w:w="2277" w:type="dxa"/>
          </w:tcPr>
          <w:p w14:paraId="22DC239B" w14:textId="77777777" w:rsidR="003E72E2" w:rsidRPr="00F861B8" w:rsidRDefault="003E72E2" w:rsidP="00E83AEB">
            <w:pPr>
              <w:jc w:val="center"/>
              <w:rPr>
                <w:b/>
              </w:rPr>
            </w:pPr>
            <w:r w:rsidRPr="00E50DF8">
              <w:rPr>
                <w:b/>
              </w:rPr>
              <w:t>201</w:t>
            </w:r>
            <w:r w:rsidR="00E83AEB">
              <w:rPr>
                <w:b/>
              </w:rPr>
              <w:t>8</w:t>
            </w:r>
            <w:r w:rsidRPr="00E50DF8">
              <w:rPr>
                <w:b/>
              </w:rPr>
              <w:t>/1</w:t>
            </w:r>
            <w:r w:rsidR="00E83AEB">
              <w:rPr>
                <w:b/>
              </w:rPr>
              <w:t>9</w:t>
            </w:r>
          </w:p>
        </w:tc>
        <w:tc>
          <w:tcPr>
            <w:tcW w:w="2277" w:type="dxa"/>
          </w:tcPr>
          <w:p w14:paraId="724EC959" w14:textId="77777777" w:rsidR="003E72E2" w:rsidRPr="00F861B8" w:rsidRDefault="003E72E2" w:rsidP="00E83AEB">
            <w:pPr>
              <w:jc w:val="center"/>
              <w:rPr>
                <w:b/>
              </w:rPr>
            </w:pPr>
            <w:r w:rsidRPr="00E50DF8">
              <w:rPr>
                <w:b/>
              </w:rPr>
              <w:t>201</w:t>
            </w:r>
            <w:r w:rsidR="00E83AEB">
              <w:rPr>
                <w:b/>
              </w:rPr>
              <w:t>9</w:t>
            </w:r>
            <w:r w:rsidRPr="00E50DF8">
              <w:rPr>
                <w:b/>
              </w:rPr>
              <w:t>/</w:t>
            </w:r>
            <w:r w:rsidR="00E83AEB">
              <w:rPr>
                <w:b/>
              </w:rPr>
              <w:t>20</w:t>
            </w:r>
          </w:p>
        </w:tc>
      </w:tr>
      <w:tr w:rsidR="004F3510" w:rsidRPr="001143BB" w14:paraId="30A169FD" w14:textId="77777777" w:rsidTr="003E72E2">
        <w:tc>
          <w:tcPr>
            <w:tcW w:w="2277" w:type="dxa"/>
          </w:tcPr>
          <w:p w14:paraId="3A6D2E7C" w14:textId="77777777" w:rsidR="004F3510" w:rsidRPr="00F861B8" w:rsidRDefault="004F3510" w:rsidP="004F3510">
            <w:pPr>
              <w:jc w:val="center"/>
              <w:rPr>
                <w:b/>
              </w:rPr>
            </w:pPr>
            <w:r w:rsidRPr="00F861B8">
              <w:rPr>
                <w:b/>
              </w:rPr>
              <w:t>Estimate</w:t>
            </w:r>
          </w:p>
        </w:tc>
        <w:tc>
          <w:tcPr>
            <w:tcW w:w="2277" w:type="dxa"/>
          </w:tcPr>
          <w:p w14:paraId="099D1E39" w14:textId="77777777" w:rsidR="004F3510" w:rsidRPr="00F861B8" w:rsidRDefault="004F3510" w:rsidP="004F3510">
            <w:pPr>
              <w:jc w:val="center"/>
              <w:rPr>
                <w:b/>
              </w:rPr>
            </w:pPr>
            <w:r w:rsidRPr="00F861B8">
              <w:rPr>
                <w:b/>
              </w:rPr>
              <w:t>Estimate</w:t>
            </w:r>
          </w:p>
        </w:tc>
        <w:tc>
          <w:tcPr>
            <w:tcW w:w="2277" w:type="dxa"/>
          </w:tcPr>
          <w:p w14:paraId="6B9D15A5" w14:textId="77777777" w:rsidR="004F3510" w:rsidRPr="00F861B8" w:rsidRDefault="004F3510" w:rsidP="004F3510">
            <w:pPr>
              <w:jc w:val="center"/>
              <w:rPr>
                <w:b/>
              </w:rPr>
            </w:pPr>
            <w:r w:rsidRPr="00F861B8">
              <w:rPr>
                <w:b/>
              </w:rPr>
              <w:t>Estimate</w:t>
            </w:r>
          </w:p>
        </w:tc>
        <w:tc>
          <w:tcPr>
            <w:tcW w:w="2277" w:type="dxa"/>
          </w:tcPr>
          <w:p w14:paraId="045449D7" w14:textId="77777777" w:rsidR="004F3510" w:rsidRPr="00F861B8" w:rsidRDefault="004F3510" w:rsidP="004F3510">
            <w:pPr>
              <w:jc w:val="center"/>
              <w:rPr>
                <w:b/>
              </w:rPr>
            </w:pPr>
            <w:r w:rsidRPr="00F861B8">
              <w:rPr>
                <w:b/>
              </w:rPr>
              <w:t>Estimate</w:t>
            </w:r>
          </w:p>
        </w:tc>
      </w:tr>
      <w:tr w:rsidR="004F3510" w:rsidRPr="001143BB" w14:paraId="689D9B2D" w14:textId="77777777" w:rsidTr="003E72E2">
        <w:tc>
          <w:tcPr>
            <w:tcW w:w="2277" w:type="dxa"/>
          </w:tcPr>
          <w:p w14:paraId="3B6BE12F" w14:textId="77777777" w:rsidR="004F3510" w:rsidRPr="00F861B8" w:rsidRDefault="004F3510" w:rsidP="004F3510">
            <w:pPr>
              <w:spacing w:after="120"/>
              <w:jc w:val="center"/>
              <w:rPr>
                <w:b/>
              </w:rPr>
            </w:pPr>
            <w:r w:rsidRPr="00F861B8">
              <w:rPr>
                <w:b/>
              </w:rPr>
              <w:t>%</w:t>
            </w:r>
          </w:p>
        </w:tc>
        <w:tc>
          <w:tcPr>
            <w:tcW w:w="2277" w:type="dxa"/>
          </w:tcPr>
          <w:p w14:paraId="34AA8C7C" w14:textId="77777777" w:rsidR="004F3510" w:rsidRPr="00F861B8" w:rsidRDefault="004F3510" w:rsidP="004F3510">
            <w:pPr>
              <w:spacing w:after="120"/>
              <w:jc w:val="center"/>
              <w:rPr>
                <w:b/>
              </w:rPr>
            </w:pPr>
            <w:r w:rsidRPr="00F861B8">
              <w:rPr>
                <w:b/>
              </w:rPr>
              <w:t>%</w:t>
            </w:r>
          </w:p>
        </w:tc>
        <w:tc>
          <w:tcPr>
            <w:tcW w:w="2277" w:type="dxa"/>
          </w:tcPr>
          <w:p w14:paraId="0DDC44AC" w14:textId="77777777" w:rsidR="004F3510" w:rsidRPr="00F861B8" w:rsidRDefault="004F3510" w:rsidP="004F3510">
            <w:pPr>
              <w:spacing w:after="120"/>
              <w:jc w:val="center"/>
              <w:rPr>
                <w:b/>
              </w:rPr>
            </w:pPr>
            <w:r w:rsidRPr="00F861B8">
              <w:rPr>
                <w:b/>
              </w:rPr>
              <w:t>%</w:t>
            </w:r>
          </w:p>
        </w:tc>
        <w:tc>
          <w:tcPr>
            <w:tcW w:w="2277" w:type="dxa"/>
          </w:tcPr>
          <w:p w14:paraId="564322DF" w14:textId="77777777" w:rsidR="004F3510" w:rsidRPr="00F861B8" w:rsidRDefault="004F3510" w:rsidP="004F3510">
            <w:pPr>
              <w:spacing w:after="120"/>
              <w:jc w:val="center"/>
              <w:rPr>
                <w:b/>
              </w:rPr>
            </w:pPr>
            <w:r w:rsidRPr="00F861B8">
              <w:rPr>
                <w:b/>
              </w:rPr>
              <w:t>%</w:t>
            </w:r>
          </w:p>
        </w:tc>
      </w:tr>
      <w:tr w:rsidR="004F3510" w:rsidRPr="001143BB" w14:paraId="70427390" w14:textId="77777777" w:rsidTr="003E72E2">
        <w:tc>
          <w:tcPr>
            <w:tcW w:w="2277" w:type="dxa"/>
          </w:tcPr>
          <w:p w14:paraId="01570935" w14:textId="77777777" w:rsidR="004F3510" w:rsidRPr="00F861B8" w:rsidRDefault="00116720" w:rsidP="004F3510">
            <w:pPr>
              <w:spacing w:after="240"/>
              <w:jc w:val="center"/>
            </w:pPr>
            <w:r>
              <w:t>4.64</w:t>
            </w:r>
          </w:p>
        </w:tc>
        <w:tc>
          <w:tcPr>
            <w:tcW w:w="2277" w:type="dxa"/>
          </w:tcPr>
          <w:p w14:paraId="0308F366" w14:textId="77777777" w:rsidR="004F3510" w:rsidRPr="00F861B8" w:rsidRDefault="00116720" w:rsidP="00C6577B">
            <w:pPr>
              <w:spacing w:after="240"/>
              <w:jc w:val="center"/>
            </w:pPr>
            <w:r>
              <w:t>5.19</w:t>
            </w:r>
          </w:p>
        </w:tc>
        <w:tc>
          <w:tcPr>
            <w:tcW w:w="2277" w:type="dxa"/>
          </w:tcPr>
          <w:p w14:paraId="096E4BED" w14:textId="77777777" w:rsidR="004F3510" w:rsidRPr="00F861B8" w:rsidRDefault="00116720" w:rsidP="00C6577B">
            <w:pPr>
              <w:spacing w:after="240"/>
              <w:jc w:val="center"/>
            </w:pPr>
            <w:r>
              <w:t>5.33</w:t>
            </w:r>
          </w:p>
        </w:tc>
        <w:tc>
          <w:tcPr>
            <w:tcW w:w="2277" w:type="dxa"/>
          </w:tcPr>
          <w:p w14:paraId="67638717" w14:textId="77777777" w:rsidR="004F3510" w:rsidRPr="00F861B8" w:rsidRDefault="00116720" w:rsidP="00C6577B">
            <w:pPr>
              <w:spacing w:after="240"/>
              <w:jc w:val="center"/>
            </w:pPr>
            <w:r>
              <w:t>5.38</w:t>
            </w:r>
          </w:p>
        </w:tc>
      </w:tr>
    </w:tbl>
    <w:p w14:paraId="405845DC" w14:textId="77777777" w:rsidR="004F3510" w:rsidRPr="001143BB" w:rsidRDefault="004F3510" w:rsidP="00877552">
      <w:pPr>
        <w:rPr>
          <w:highlight w:val="yellow"/>
        </w:rPr>
      </w:pPr>
    </w:p>
    <w:p w14:paraId="157CEE27" w14:textId="77777777" w:rsidR="004F3510" w:rsidRDefault="00595CFD" w:rsidP="00194D26">
      <w:pPr>
        <w:pStyle w:val="BodyTextIndent"/>
        <w:spacing w:after="240"/>
        <w:ind w:left="0"/>
        <w:jc w:val="both"/>
        <w:rPr>
          <w:color w:val="000000"/>
        </w:rPr>
      </w:pPr>
      <w:r w:rsidRPr="00F861B8">
        <w:rPr>
          <w:color w:val="000000"/>
        </w:rPr>
        <w:t>The Capital Programme is still being considered by the County Council and is not yet finalised. The indicators have been calculated</w:t>
      </w:r>
      <w:r w:rsidR="00A4232D">
        <w:rPr>
          <w:color w:val="000000"/>
        </w:rPr>
        <w:t xml:space="preserve"> i</w:t>
      </w:r>
      <w:r w:rsidRPr="00F861B8">
        <w:rPr>
          <w:color w:val="000000"/>
        </w:rPr>
        <w:t>ncluding the cost of financing the borrowing already included in the Programme</w:t>
      </w:r>
      <w:r w:rsidR="00A4232D">
        <w:rPr>
          <w:color w:val="000000"/>
        </w:rPr>
        <w:t>. It assumes that any further new starts will be funded and borrowing is not required.</w:t>
      </w:r>
      <w:r w:rsidRPr="00F861B8">
        <w:rPr>
          <w:color w:val="000000"/>
        </w:rPr>
        <w:t xml:space="preserve"> </w:t>
      </w:r>
      <w:r w:rsidR="00A4232D">
        <w:rPr>
          <w:color w:val="000000"/>
        </w:rPr>
        <w:t>I</w:t>
      </w:r>
      <w:r w:rsidRPr="00F861B8">
        <w:rPr>
          <w:color w:val="000000"/>
        </w:rPr>
        <w:t>t is estimated that the Council Tax impact of the Programme will be:</w:t>
      </w:r>
    </w:p>
    <w:p w14:paraId="1B34EFD9" w14:textId="77777777" w:rsidR="00186F66" w:rsidRDefault="00186F66" w:rsidP="00194D26">
      <w:pPr>
        <w:pStyle w:val="BodyTextIndent"/>
        <w:spacing w:after="240"/>
        <w:ind w:left="0"/>
        <w:jc w:val="both"/>
        <w:rPr>
          <w:color w:val="000000"/>
        </w:rPr>
      </w:pPr>
    </w:p>
    <w:p w14:paraId="58E20756" w14:textId="77777777" w:rsidR="00186F66" w:rsidRPr="00D635B5" w:rsidRDefault="00186F66" w:rsidP="00194D26">
      <w:pPr>
        <w:pStyle w:val="BodyTextIndent"/>
        <w:spacing w:after="240"/>
        <w:ind w:left="0"/>
        <w:jc w:val="both"/>
        <w:rPr>
          <w:color w:val="000000"/>
        </w:rPr>
      </w:pPr>
    </w:p>
    <w:tbl>
      <w:tblPr>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tblGrid>
      <w:tr w:rsidR="005841CB" w:rsidRPr="001143BB" w14:paraId="5BE8A4DB" w14:textId="77777777" w:rsidTr="00D86663">
        <w:tc>
          <w:tcPr>
            <w:tcW w:w="2277" w:type="dxa"/>
          </w:tcPr>
          <w:p w14:paraId="74C910DA" w14:textId="77777777" w:rsidR="005841CB" w:rsidRPr="00F861B8" w:rsidRDefault="005841CB" w:rsidP="00E83AEB">
            <w:pPr>
              <w:jc w:val="center"/>
              <w:rPr>
                <w:b/>
              </w:rPr>
            </w:pPr>
            <w:r w:rsidRPr="00E50DF8">
              <w:rPr>
                <w:b/>
              </w:rPr>
              <w:t>201</w:t>
            </w:r>
            <w:r w:rsidR="00E83AEB">
              <w:rPr>
                <w:b/>
              </w:rPr>
              <w:t>7</w:t>
            </w:r>
            <w:r w:rsidRPr="00E50DF8">
              <w:rPr>
                <w:b/>
              </w:rPr>
              <w:t>/1</w:t>
            </w:r>
            <w:r w:rsidR="00E83AEB">
              <w:rPr>
                <w:b/>
              </w:rPr>
              <w:t>8</w:t>
            </w:r>
          </w:p>
        </w:tc>
        <w:tc>
          <w:tcPr>
            <w:tcW w:w="2277" w:type="dxa"/>
          </w:tcPr>
          <w:p w14:paraId="60986E5C" w14:textId="77777777" w:rsidR="005841CB" w:rsidRPr="00F861B8" w:rsidRDefault="005841CB" w:rsidP="00E83AEB">
            <w:pPr>
              <w:jc w:val="center"/>
              <w:rPr>
                <w:b/>
              </w:rPr>
            </w:pPr>
            <w:r w:rsidRPr="00E50DF8">
              <w:rPr>
                <w:b/>
              </w:rPr>
              <w:t>201</w:t>
            </w:r>
            <w:r w:rsidR="00E83AEB">
              <w:rPr>
                <w:b/>
              </w:rPr>
              <w:t>8</w:t>
            </w:r>
            <w:r w:rsidRPr="00E50DF8">
              <w:rPr>
                <w:b/>
              </w:rPr>
              <w:t>/1</w:t>
            </w:r>
            <w:r w:rsidR="00E83AEB">
              <w:rPr>
                <w:b/>
              </w:rPr>
              <w:t>9</w:t>
            </w:r>
          </w:p>
        </w:tc>
        <w:tc>
          <w:tcPr>
            <w:tcW w:w="2277" w:type="dxa"/>
          </w:tcPr>
          <w:p w14:paraId="52CEA04E" w14:textId="77777777" w:rsidR="005841CB" w:rsidRPr="00F861B8" w:rsidRDefault="005841CB" w:rsidP="00E83AEB">
            <w:pPr>
              <w:jc w:val="center"/>
              <w:rPr>
                <w:b/>
              </w:rPr>
            </w:pPr>
            <w:r w:rsidRPr="00E50DF8">
              <w:rPr>
                <w:b/>
              </w:rPr>
              <w:t>201</w:t>
            </w:r>
            <w:r w:rsidR="00E83AEB">
              <w:rPr>
                <w:b/>
              </w:rPr>
              <w:t>9</w:t>
            </w:r>
            <w:r w:rsidRPr="00E50DF8">
              <w:rPr>
                <w:b/>
              </w:rPr>
              <w:t>/</w:t>
            </w:r>
            <w:r w:rsidR="00E83AEB">
              <w:rPr>
                <w:b/>
              </w:rPr>
              <w:t>20</w:t>
            </w:r>
          </w:p>
        </w:tc>
      </w:tr>
      <w:tr w:rsidR="005841CB" w:rsidRPr="001143BB" w14:paraId="03439D3E" w14:textId="77777777" w:rsidTr="00D86663">
        <w:tc>
          <w:tcPr>
            <w:tcW w:w="2277" w:type="dxa"/>
          </w:tcPr>
          <w:p w14:paraId="07093B35" w14:textId="77777777" w:rsidR="005841CB" w:rsidRPr="00F861B8" w:rsidRDefault="005841CB" w:rsidP="008C3C8B">
            <w:pPr>
              <w:jc w:val="center"/>
              <w:rPr>
                <w:b/>
              </w:rPr>
            </w:pPr>
            <w:r w:rsidRPr="00F861B8">
              <w:rPr>
                <w:b/>
              </w:rPr>
              <w:t>Estimate</w:t>
            </w:r>
          </w:p>
        </w:tc>
        <w:tc>
          <w:tcPr>
            <w:tcW w:w="2277" w:type="dxa"/>
          </w:tcPr>
          <w:p w14:paraId="083104F9" w14:textId="77777777" w:rsidR="005841CB" w:rsidRPr="00F861B8" w:rsidRDefault="005841CB" w:rsidP="008C3C8B">
            <w:pPr>
              <w:jc w:val="center"/>
              <w:rPr>
                <w:b/>
              </w:rPr>
            </w:pPr>
            <w:r w:rsidRPr="00F861B8">
              <w:rPr>
                <w:b/>
              </w:rPr>
              <w:t>Estimate</w:t>
            </w:r>
          </w:p>
        </w:tc>
        <w:tc>
          <w:tcPr>
            <w:tcW w:w="2277" w:type="dxa"/>
          </w:tcPr>
          <w:p w14:paraId="5B987815" w14:textId="77777777" w:rsidR="005841CB" w:rsidRPr="00F861B8" w:rsidRDefault="005841CB" w:rsidP="008C3C8B">
            <w:pPr>
              <w:jc w:val="center"/>
              <w:rPr>
                <w:b/>
              </w:rPr>
            </w:pPr>
            <w:r w:rsidRPr="00F861B8">
              <w:rPr>
                <w:b/>
              </w:rPr>
              <w:t>Estimate</w:t>
            </w:r>
          </w:p>
        </w:tc>
      </w:tr>
      <w:tr w:rsidR="005841CB" w:rsidRPr="001143BB" w14:paraId="69477F60" w14:textId="77777777" w:rsidTr="00D86663">
        <w:tc>
          <w:tcPr>
            <w:tcW w:w="2277" w:type="dxa"/>
          </w:tcPr>
          <w:p w14:paraId="53F3FE4E" w14:textId="77777777" w:rsidR="005841CB" w:rsidRPr="00F861B8" w:rsidRDefault="005841CB" w:rsidP="008C3C8B">
            <w:pPr>
              <w:spacing w:after="120"/>
              <w:jc w:val="center"/>
              <w:rPr>
                <w:b/>
              </w:rPr>
            </w:pPr>
            <w:r w:rsidRPr="00F861B8">
              <w:rPr>
                <w:b/>
              </w:rPr>
              <w:t>£</w:t>
            </w:r>
          </w:p>
        </w:tc>
        <w:tc>
          <w:tcPr>
            <w:tcW w:w="2277" w:type="dxa"/>
          </w:tcPr>
          <w:p w14:paraId="526FEBAD" w14:textId="77777777" w:rsidR="005841CB" w:rsidRPr="00F861B8" w:rsidRDefault="005841CB" w:rsidP="008C3C8B">
            <w:pPr>
              <w:spacing w:after="120"/>
              <w:jc w:val="center"/>
              <w:rPr>
                <w:b/>
              </w:rPr>
            </w:pPr>
            <w:r w:rsidRPr="00F861B8">
              <w:rPr>
                <w:b/>
              </w:rPr>
              <w:t>£</w:t>
            </w:r>
          </w:p>
        </w:tc>
        <w:tc>
          <w:tcPr>
            <w:tcW w:w="2277" w:type="dxa"/>
          </w:tcPr>
          <w:p w14:paraId="2AB12790" w14:textId="77777777" w:rsidR="005841CB" w:rsidRPr="00F861B8" w:rsidRDefault="005841CB" w:rsidP="008C3C8B">
            <w:pPr>
              <w:spacing w:after="120"/>
              <w:jc w:val="center"/>
              <w:rPr>
                <w:b/>
              </w:rPr>
            </w:pPr>
            <w:r w:rsidRPr="00F861B8">
              <w:rPr>
                <w:b/>
              </w:rPr>
              <w:t>£</w:t>
            </w:r>
          </w:p>
        </w:tc>
      </w:tr>
      <w:tr w:rsidR="005841CB" w:rsidRPr="001143BB" w14:paraId="5AA88179" w14:textId="77777777" w:rsidTr="00D86663">
        <w:tc>
          <w:tcPr>
            <w:tcW w:w="2277" w:type="dxa"/>
          </w:tcPr>
          <w:p w14:paraId="76EE6B53" w14:textId="77777777" w:rsidR="005841CB" w:rsidRPr="00F861B8" w:rsidRDefault="00A4232D" w:rsidP="008C3C8B">
            <w:pPr>
              <w:spacing w:after="240"/>
              <w:jc w:val="center"/>
            </w:pPr>
            <w:r>
              <w:t>5.94</w:t>
            </w:r>
          </w:p>
        </w:tc>
        <w:tc>
          <w:tcPr>
            <w:tcW w:w="2277" w:type="dxa"/>
          </w:tcPr>
          <w:p w14:paraId="33984D1C" w14:textId="77777777" w:rsidR="005841CB" w:rsidRPr="00F861B8" w:rsidRDefault="00A4232D" w:rsidP="008C3C8B">
            <w:pPr>
              <w:spacing w:after="240"/>
              <w:jc w:val="center"/>
            </w:pPr>
            <w:r>
              <w:t>5.42</w:t>
            </w:r>
          </w:p>
        </w:tc>
        <w:tc>
          <w:tcPr>
            <w:tcW w:w="2277" w:type="dxa"/>
          </w:tcPr>
          <w:p w14:paraId="74D2EBAF" w14:textId="77777777" w:rsidR="005841CB" w:rsidRPr="00F861B8" w:rsidRDefault="00A4232D" w:rsidP="008C3C8B">
            <w:pPr>
              <w:spacing w:after="240"/>
              <w:jc w:val="center"/>
            </w:pPr>
            <w:r>
              <w:t>10.69</w:t>
            </w:r>
          </w:p>
        </w:tc>
      </w:tr>
    </w:tbl>
    <w:p w14:paraId="0D7BE430" w14:textId="77777777" w:rsidR="00ED58E1" w:rsidRDefault="00ED58E1" w:rsidP="00392C2F">
      <w:pPr>
        <w:pStyle w:val="BodyTextIndent"/>
        <w:spacing w:after="0"/>
        <w:ind w:left="0"/>
        <w:rPr>
          <w:highlight w:val="yellow"/>
        </w:rPr>
      </w:pPr>
    </w:p>
    <w:p w14:paraId="64EDC81F" w14:textId="02BD9167" w:rsidR="004F3510" w:rsidRDefault="00606948" w:rsidP="00194D26">
      <w:pPr>
        <w:pStyle w:val="BodyTextIndent"/>
        <w:spacing w:after="0"/>
        <w:ind w:left="0"/>
        <w:jc w:val="both"/>
      </w:pPr>
      <w:r>
        <w:t xml:space="preserve">Any programmed </w:t>
      </w:r>
      <w:r w:rsidR="00A4232D">
        <w:t>financing from revenue is included in the figures however provision for these</w:t>
      </w:r>
      <w:r w:rsidR="004F3510" w:rsidRPr="00F861B8">
        <w:t xml:space="preserve"> already exists within the revenue budget.</w:t>
      </w:r>
      <w:r w:rsidR="00275379" w:rsidRPr="00F861B8">
        <w:t xml:space="preserve"> The Prudential Code requires the estimated revenue impact of capital investment decisions in Band D Counc</w:t>
      </w:r>
      <w:r w:rsidR="00186F66">
        <w:t xml:space="preserve">il Tax terms to be calculated. </w:t>
      </w:r>
      <w:r w:rsidR="004F3510" w:rsidRPr="00F861B8">
        <w:t>The estimated effect in Band D Council Tax terms of the net cost of the borrowing is:</w:t>
      </w:r>
    </w:p>
    <w:p w14:paraId="26F85F98" w14:textId="77777777" w:rsidR="008C7355" w:rsidRDefault="008C7355" w:rsidP="00194D26">
      <w:pPr>
        <w:pStyle w:val="BodyTextIndent"/>
        <w:spacing w:after="0"/>
        <w:ind w:left="0"/>
        <w:jc w:val="both"/>
      </w:pPr>
    </w:p>
    <w:p w14:paraId="2178208A" w14:textId="77777777" w:rsidR="008C7355" w:rsidRDefault="008C7355" w:rsidP="00194D26">
      <w:pPr>
        <w:pStyle w:val="BodyTextIndent"/>
        <w:spacing w:after="0"/>
        <w:ind w:left="0"/>
        <w:jc w:val="both"/>
      </w:pPr>
    </w:p>
    <w:tbl>
      <w:tblPr>
        <w:tblStyle w:val="TableGrid"/>
        <w:tblW w:w="0" w:type="auto"/>
        <w:jc w:val="center"/>
        <w:tblLook w:val="04A0" w:firstRow="1" w:lastRow="0" w:firstColumn="1" w:lastColumn="0" w:noHBand="0" w:noVBand="1"/>
      </w:tblPr>
      <w:tblGrid>
        <w:gridCol w:w="1696"/>
        <w:gridCol w:w="1276"/>
      </w:tblGrid>
      <w:tr w:rsidR="008C7355" w:rsidRPr="00AF4E4F" w14:paraId="23F14DBF" w14:textId="77777777" w:rsidTr="0008230A">
        <w:trPr>
          <w:jc w:val="center"/>
        </w:trPr>
        <w:tc>
          <w:tcPr>
            <w:tcW w:w="1696" w:type="dxa"/>
          </w:tcPr>
          <w:p w14:paraId="2AC43230" w14:textId="77777777" w:rsidR="008C7355" w:rsidRDefault="008C7355" w:rsidP="00194D26">
            <w:pPr>
              <w:pStyle w:val="BodyTextIndent"/>
              <w:spacing w:after="0"/>
              <w:ind w:left="0"/>
              <w:jc w:val="both"/>
            </w:pPr>
          </w:p>
        </w:tc>
        <w:tc>
          <w:tcPr>
            <w:tcW w:w="1276" w:type="dxa"/>
          </w:tcPr>
          <w:p w14:paraId="43C627CA" w14:textId="6D69050B" w:rsidR="008C7355" w:rsidRDefault="008C7355" w:rsidP="00194D26">
            <w:pPr>
              <w:pStyle w:val="BodyTextIndent"/>
              <w:spacing w:after="0"/>
              <w:ind w:left="0"/>
              <w:jc w:val="both"/>
            </w:pPr>
            <w:r>
              <w:t>£</w:t>
            </w:r>
          </w:p>
        </w:tc>
      </w:tr>
      <w:tr w:rsidR="008C7355" w:rsidRPr="00AF4E4F" w14:paraId="7FDDF03D" w14:textId="77777777" w:rsidTr="0008230A">
        <w:trPr>
          <w:jc w:val="center"/>
        </w:trPr>
        <w:tc>
          <w:tcPr>
            <w:tcW w:w="1696" w:type="dxa"/>
          </w:tcPr>
          <w:p w14:paraId="7B40584C" w14:textId="4B4ECE66" w:rsidR="008C7355" w:rsidRDefault="008C7355" w:rsidP="00194D26">
            <w:pPr>
              <w:pStyle w:val="BodyTextIndent"/>
              <w:spacing w:after="0"/>
              <w:ind w:left="0"/>
              <w:jc w:val="both"/>
            </w:pPr>
            <w:r>
              <w:t>2017/18</w:t>
            </w:r>
          </w:p>
        </w:tc>
        <w:tc>
          <w:tcPr>
            <w:tcW w:w="1276" w:type="dxa"/>
          </w:tcPr>
          <w:p w14:paraId="6E88597D" w14:textId="70F36AFC" w:rsidR="008C7355" w:rsidRDefault="008C7355" w:rsidP="00194D26">
            <w:pPr>
              <w:pStyle w:val="BodyTextIndent"/>
              <w:spacing w:after="0"/>
              <w:ind w:left="0"/>
              <w:jc w:val="both"/>
            </w:pPr>
            <w:r>
              <w:t>3.88</w:t>
            </w:r>
          </w:p>
        </w:tc>
      </w:tr>
      <w:tr w:rsidR="008C7355" w:rsidRPr="00AF4E4F" w14:paraId="3D6728D6" w14:textId="77777777" w:rsidTr="0008230A">
        <w:trPr>
          <w:jc w:val="center"/>
        </w:trPr>
        <w:tc>
          <w:tcPr>
            <w:tcW w:w="1696" w:type="dxa"/>
          </w:tcPr>
          <w:p w14:paraId="005660A8" w14:textId="2950F11A" w:rsidR="008C7355" w:rsidRDefault="008C7355" w:rsidP="00194D26">
            <w:pPr>
              <w:pStyle w:val="BodyTextIndent"/>
              <w:spacing w:after="0"/>
              <w:ind w:left="0"/>
              <w:jc w:val="both"/>
            </w:pPr>
            <w:r>
              <w:t>2018/19</w:t>
            </w:r>
          </w:p>
        </w:tc>
        <w:tc>
          <w:tcPr>
            <w:tcW w:w="1276" w:type="dxa"/>
          </w:tcPr>
          <w:p w14:paraId="0CC6B053" w14:textId="455C2648" w:rsidR="008C7355" w:rsidRDefault="008C7355" w:rsidP="00194D26">
            <w:pPr>
              <w:pStyle w:val="BodyTextIndent"/>
              <w:spacing w:after="0"/>
              <w:ind w:left="0"/>
              <w:jc w:val="both"/>
            </w:pPr>
            <w:r>
              <w:t>5.42</w:t>
            </w:r>
          </w:p>
        </w:tc>
      </w:tr>
      <w:tr w:rsidR="008C7355" w:rsidRPr="00AF4E4F" w14:paraId="169B98F3" w14:textId="77777777" w:rsidTr="0008230A">
        <w:trPr>
          <w:jc w:val="center"/>
        </w:trPr>
        <w:tc>
          <w:tcPr>
            <w:tcW w:w="1696" w:type="dxa"/>
          </w:tcPr>
          <w:p w14:paraId="399662F0" w14:textId="213E4851" w:rsidR="008C7355" w:rsidRDefault="008C7355" w:rsidP="00194D26">
            <w:pPr>
              <w:pStyle w:val="BodyTextIndent"/>
              <w:spacing w:after="0"/>
              <w:ind w:left="0"/>
              <w:jc w:val="both"/>
            </w:pPr>
            <w:r>
              <w:t>2019/20</w:t>
            </w:r>
          </w:p>
        </w:tc>
        <w:tc>
          <w:tcPr>
            <w:tcW w:w="1276" w:type="dxa"/>
          </w:tcPr>
          <w:p w14:paraId="595E6D7F" w14:textId="7B355ECF" w:rsidR="008C7355" w:rsidRDefault="008C7355" w:rsidP="00194D26">
            <w:pPr>
              <w:pStyle w:val="BodyTextIndent"/>
              <w:spacing w:after="0"/>
              <w:ind w:left="0"/>
              <w:jc w:val="both"/>
            </w:pPr>
            <w:r>
              <w:t>10.69</w:t>
            </w:r>
          </w:p>
        </w:tc>
      </w:tr>
    </w:tbl>
    <w:p w14:paraId="18850B34" w14:textId="77777777" w:rsidR="008C7355" w:rsidRDefault="008C7355" w:rsidP="00194D26">
      <w:pPr>
        <w:pStyle w:val="BodyTextIndent"/>
        <w:spacing w:after="0"/>
        <w:ind w:left="0"/>
        <w:jc w:val="both"/>
      </w:pPr>
    </w:p>
    <w:p w14:paraId="1123406E" w14:textId="77777777" w:rsidR="00595CFD" w:rsidRPr="00F861B8" w:rsidRDefault="00595CFD" w:rsidP="00392C2F">
      <w:pPr>
        <w:pStyle w:val="BodyTextIndent"/>
        <w:spacing w:after="0"/>
        <w:ind w:left="0"/>
      </w:pPr>
    </w:p>
    <w:p w14:paraId="74086618" w14:textId="77777777" w:rsidR="004F3510" w:rsidRPr="00194D26" w:rsidRDefault="004F3510" w:rsidP="00D635B5">
      <w:pPr>
        <w:rPr>
          <w:b/>
        </w:rPr>
      </w:pPr>
      <w:r w:rsidRPr="00194D26">
        <w:rPr>
          <w:b/>
        </w:rPr>
        <w:t>External Debt</w:t>
      </w:r>
    </w:p>
    <w:p w14:paraId="0141A9EC" w14:textId="77777777" w:rsidR="00DC7850" w:rsidRPr="00D635B5" w:rsidRDefault="00DC7850" w:rsidP="00D635B5">
      <w:pPr>
        <w:rPr>
          <w:highlight w:val="yellow"/>
        </w:rPr>
      </w:pPr>
    </w:p>
    <w:p w14:paraId="4F20784F" w14:textId="5BD5A1C7" w:rsidR="004F3510" w:rsidRPr="005A1A62" w:rsidRDefault="004F3510" w:rsidP="00D635B5">
      <w:pPr>
        <w:jc w:val="both"/>
      </w:pPr>
      <w:r w:rsidRPr="005A1A62">
        <w:t xml:space="preserve">The </w:t>
      </w:r>
      <w:r w:rsidR="00043461">
        <w:t>c</w:t>
      </w:r>
      <w:r w:rsidR="00F25AD0">
        <w:t>ounty council</w:t>
      </w:r>
      <w:r w:rsidRPr="005A1A62">
        <w:t xml:space="preserve"> is required to approve an “authorised limit” and an “operational boundary” for external debt.  The limits proposed are consistent with the proposals for capital investment and with the approved treasury management p</w:t>
      </w:r>
      <w:r w:rsidR="00186F66">
        <w:t xml:space="preserve">olicy statement and practices. </w:t>
      </w:r>
      <w:r w:rsidR="00451200" w:rsidRPr="005A1A62">
        <w:t>The limits also include provision for the</w:t>
      </w:r>
      <w:r w:rsidR="004B2FE8" w:rsidRPr="005A1A62">
        <w:t xml:space="preserve"> £150m cap on the</w:t>
      </w:r>
      <w:r w:rsidR="00451200" w:rsidRPr="005A1A62">
        <w:t xml:space="preserve"> shared investment scheme</w:t>
      </w:r>
      <w:r w:rsidR="004B2FE8" w:rsidRPr="005A1A62">
        <w:t xml:space="preserve">. </w:t>
      </w:r>
      <w:r w:rsidRPr="005A1A62">
        <w:t>The indicators are split between borrowing and other long term liabilities, such as PFI projects</w:t>
      </w:r>
      <w:r w:rsidR="008E41F9" w:rsidRPr="005A1A62">
        <w:t>.</w:t>
      </w:r>
      <w:r w:rsidRPr="005A1A62">
        <w:t xml:space="preserve">  It is, proposed </w:t>
      </w:r>
      <w:r w:rsidR="00606948">
        <w:t xml:space="preserve">that this is an overall limit but the </w:t>
      </w:r>
      <w:r w:rsidRPr="005A1A62">
        <w:t xml:space="preserve"> </w:t>
      </w:r>
      <w:r w:rsidR="00CF5E98">
        <w:t>section 151</w:t>
      </w:r>
      <w:r w:rsidRPr="005A1A62">
        <w:t xml:space="preserve"> </w:t>
      </w:r>
      <w:r w:rsidR="00606948">
        <w:t>Officer can approve a switch between borrowing and other long term liabilities.</w:t>
      </w:r>
    </w:p>
    <w:p w14:paraId="2BB443AC" w14:textId="77777777" w:rsidR="00877552" w:rsidRPr="005A1A62" w:rsidRDefault="00877552" w:rsidP="00877552"/>
    <w:p w14:paraId="3D94DBAD" w14:textId="406AF242" w:rsidR="004F3510" w:rsidRDefault="004F3510" w:rsidP="00D635B5">
      <w:pPr>
        <w:jc w:val="both"/>
      </w:pPr>
      <w:r w:rsidRPr="005A1A62">
        <w:t>The authorised limit is a prudent estimate of external debt, but allows sufficient headroom fo</w:t>
      </w:r>
      <w:r w:rsidR="00186F66">
        <w:t xml:space="preserve">r unusual cash flow movements. </w:t>
      </w:r>
      <w:r w:rsidRPr="005A1A62">
        <w:t xml:space="preserve">After taking into account the capital plans and estimates of </w:t>
      </w:r>
      <w:r w:rsidR="00221A79" w:rsidRPr="005A1A62">
        <w:t>cash flow</w:t>
      </w:r>
      <w:r w:rsidRPr="005A1A62">
        <w:t xml:space="preserve"> and its risks, the proposed authorised limits for external debt are:</w:t>
      </w:r>
    </w:p>
    <w:p w14:paraId="12BC4C8C" w14:textId="77777777" w:rsidR="00877552" w:rsidRPr="005A1A62" w:rsidRDefault="00877552" w:rsidP="00877552"/>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1553"/>
        <w:gridCol w:w="1552"/>
        <w:gridCol w:w="1553"/>
      </w:tblGrid>
      <w:tr w:rsidR="00E50DF8" w:rsidRPr="005A1A62" w14:paraId="445C1C4D" w14:textId="77777777" w:rsidTr="00E50DF8">
        <w:tc>
          <w:tcPr>
            <w:tcW w:w="2988" w:type="dxa"/>
          </w:tcPr>
          <w:p w14:paraId="5CD16263" w14:textId="77777777" w:rsidR="00E50DF8" w:rsidRPr="005A1A62" w:rsidRDefault="00E50DF8" w:rsidP="00E50DF8"/>
        </w:tc>
        <w:tc>
          <w:tcPr>
            <w:tcW w:w="1553" w:type="dxa"/>
          </w:tcPr>
          <w:p w14:paraId="67B84D66" w14:textId="77777777" w:rsidR="00E50DF8" w:rsidRPr="00AF4E4F" w:rsidRDefault="00E50DF8" w:rsidP="00E50DF8">
            <w:pPr>
              <w:jc w:val="center"/>
              <w:rPr>
                <w:b/>
              </w:rPr>
            </w:pPr>
            <w:r w:rsidRPr="00AF4E4F">
              <w:rPr>
                <w:b/>
              </w:rPr>
              <w:t>201</w:t>
            </w:r>
            <w:r w:rsidR="00E83AEB" w:rsidRPr="00AF4E4F">
              <w:rPr>
                <w:b/>
              </w:rPr>
              <w:t>6</w:t>
            </w:r>
            <w:r w:rsidRPr="00AF4E4F">
              <w:rPr>
                <w:b/>
              </w:rPr>
              <w:t>/1</w:t>
            </w:r>
            <w:r w:rsidR="00E83AEB" w:rsidRPr="00AF4E4F">
              <w:rPr>
                <w:b/>
              </w:rPr>
              <w:t>7</w:t>
            </w:r>
          </w:p>
          <w:p w14:paraId="247E2F4D" w14:textId="77777777" w:rsidR="00E50DF8" w:rsidRPr="00D86663" w:rsidRDefault="00E50DF8" w:rsidP="00E50DF8">
            <w:pPr>
              <w:jc w:val="center"/>
            </w:pPr>
            <w:r w:rsidRPr="00AF4E4F">
              <w:rPr>
                <w:b/>
              </w:rPr>
              <w:t>Revised</w:t>
            </w:r>
          </w:p>
        </w:tc>
        <w:tc>
          <w:tcPr>
            <w:tcW w:w="1553" w:type="dxa"/>
          </w:tcPr>
          <w:p w14:paraId="17E9705F" w14:textId="77777777" w:rsidR="00E50DF8" w:rsidRPr="005A1A62" w:rsidRDefault="00E50DF8" w:rsidP="00E83AEB">
            <w:pPr>
              <w:jc w:val="center"/>
              <w:rPr>
                <w:b/>
              </w:rPr>
            </w:pPr>
            <w:r w:rsidRPr="005A1A62">
              <w:rPr>
                <w:b/>
              </w:rPr>
              <w:t>201</w:t>
            </w:r>
            <w:r w:rsidR="00E83AEB">
              <w:rPr>
                <w:b/>
              </w:rPr>
              <w:t>7</w:t>
            </w:r>
            <w:r w:rsidRPr="005A1A62">
              <w:rPr>
                <w:b/>
              </w:rPr>
              <w:t>/1</w:t>
            </w:r>
            <w:r w:rsidR="00E83AEB">
              <w:rPr>
                <w:b/>
              </w:rPr>
              <w:t>8</w:t>
            </w:r>
          </w:p>
        </w:tc>
        <w:tc>
          <w:tcPr>
            <w:tcW w:w="1552" w:type="dxa"/>
          </w:tcPr>
          <w:p w14:paraId="7188A65B" w14:textId="77777777" w:rsidR="00E50DF8" w:rsidRPr="005A1A62" w:rsidRDefault="00E50DF8" w:rsidP="00E83AEB">
            <w:pPr>
              <w:jc w:val="center"/>
              <w:rPr>
                <w:b/>
              </w:rPr>
            </w:pPr>
            <w:r w:rsidRPr="005A1A62">
              <w:rPr>
                <w:b/>
              </w:rPr>
              <w:t>201</w:t>
            </w:r>
            <w:r w:rsidR="00E83AEB">
              <w:rPr>
                <w:b/>
              </w:rPr>
              <w:t>8</w:t>
            </w:r>
            <w:r w:rsidRPr="005A1A62">
              <w:rPr>
                <w:b/>
              </w:rPr>
              <w:t>/1</w:t>
            </w:r>
            <w:r w:rsidR="00E83AEB">
              <w:rPr>
                <w:b/>
              </w:rPr>
              <w:t>9</w:t>
            </w:r>
          </w:p>
        </w:tc>
        <w:tc>
          <w:tcPr>
            <w:tcW w:w="1553" w:type="dxa"/>
          </w:tcPr>
          <w:p w14:paraId="2262D397" w14:textId="77777777" w:rsidR="00E50DF8" w:rsidRPr="005A1A62" w:rsidRDefault="00E50DF8" w:rsidP="00E83AEB">
            <w:pPr>
              <w:jc w:val="center"/>
              <w:rPr>
                <w:b/>
              </w:rPr>
            </w:pPr>
            <w:r w:rsidRPr="005A1A62">
              <w:rPr>
                <w:b/>
              </w:rPr>
              <w:t>201</w:t>
            </w:r>
            <w:r w:rsidR="00E83AEB">
              <w:rPr>
                <w:b/>
              </w:rPr>
              <w:t>9</w:t>
            </w:r>
            <w:r w:rsidRPr="005A1A62">
              <w:rPr>
                <w:b/>
              </w:rPr>
              <w:t>/</w:t>
            </w:r>
            <w:r w:rsidR="00E83AEB">
              <w:rPr>
                <w:b/>
              </w:rPr>
              <w:t>20</w:t>
            </w:r>
          </w:p>
        </w:tc>
      </w:tr>
      <w:tr w:rsidR="004F3510" w:rsidRPr="005A1A62" w14:paraId="6FD6E781" w14:textId="77777777" w:rsidTr="00E50DF8">
        <w:tc>
          <w:tcPr>
            <w:tcW w:w="2988" w:type="dxa"/>
          </w:tcPr>
          <w:p w14:paraId="1CB684A6" w14:textId="77777777" w:rsidR="004F3510" w:rsidRPr="005A1A62" w:rsidRDefault="004F3510" w:rsidP="004F3510">
            <w:pPr>
              <w:pStyle w:val="Header"/>
              <w:spacing w:after="120"/>
            </w:pPr>
          </w:p>
        </w:tc>
        <w:tc>
          <w:tcPr>
            <w:tcW w:w="1553" w:type="dxa"/>
          </w:tcPr>
          <w:p w14:paraId="210BA382" w14:textId="77777777" w:rsidR="004F3510" w:rsidRPr="00AF4E4F" w:rsidRDefault="004F3510" w:rsidP="00B00F15">
            <w:pPr>
              <w:spacing w:after="120"/>
              <w:jc w:val="center"/>
              <w:rPr>
                <w:b/>
              </w:rPr>
            </w:pPr>
            <w:r w:rsidRPr="00AF4E4F">
              <w:rPr>
                <w:b/>
              </w:rPr>
              <w:t>£</w:t>
            </w:r>
            <w:r w:rsidR="00B00F15" w:rsidRPr="00AF4E4F">
              <w:rPr>
                <w:b/>
              </w:rPr>
              <w:t>m</w:t>
            </w:r>
          </w:p>
        </w:tc>
        <w:tc>
          <w:tcPr>
            <w:tcW w:w="1553" w:type="dxa"/>
          </w:tcPr>
          <w:p w14:paraId="568C657A" w14:textId="77777777" w:rsidR="004F3510" w:rsidRPr="005A1A62" w:rsidRDefault="004F3510" w:rsidP="00B00F15">
            <w:pPr>
              <w:spacing w:after="120"/>
              <w:jc w:val="center"/>
              <w:rPr>
                <w:b/>
              </w:rPr>
            </w:pPr>
            <w:r w:rsidRPr="005A1A62">
              <w:rPr>
                <w:b/>
              </w:rPr>
              <w:t>£</w:t>
            </w:r>
            <w:r w:rsidR="00B00F15" w:rsidRPr="005A1A62">
              <w:rPr>
                <w:b/>
              </w:rPr>
              <w:t>m</w:t>
            </w:r>
          </w:p>
        </w:tc>
        <w:tc>
          <w:tcPr>
            <w:tcW w:w="1552" w:type="dxa"/>
          </w:tcPr>
          <w:p w14:paraId="631DDC73" w14:textId="77777777" w:rsidR="004F3510" w:rsidRPr="005A1A62" w:rsidRDefault="004F3510" w:rsidP="00B00F15">
            <w:pPr>
              <w:spacing w:after="120"/>
              <w:jc w:val="center"/>
              <w:rPr>
                <w:b/>
              </w:rPr>
            </w:pPr>
            <w:r w:rsidRPr="005A1A62">
              <w:rPr>
                <w:b/>
              </w:rPr>
              <w:t>£</w:t>
            </w:r>
            <w:r w:rsidR="00B00F15" w:rsidRPr="005A1A62">
              <w:rPr>
                <w:b/>
              </w:rPr>
              <w:t>m</w:t>
            </w:r>
          </w:p>
        </w:tc>
        <w:tc>
          <w:tcPr>
            <w:tcW w:w="1553" w:type="dxa"/>
          </w:tcPr>
          <w:p w14:paraId="0B9F0D89" w14:textId="77777777" w:rsidR="004F3510" w:rsidRPr="005A1A62" w:rsidRDefault="004F3510" w:rsidP="00B00F15">
            <w:pPr>
              <w:spacing w:after="120"/>
              <w:jc w:val="center"/>
              <w:rPr>
                <w:b/>
              </w:rPr>
            </w:pPr>
            <w:r w:rsidRPr="005A1A62">
              <w:rPr>
                <w:b/>
              </w:rPr>
              <w:t>£</w:t>
            </w:r>
            <w:r w:rsidR="00B00F15" w:rsidRPr="005A1A62">
              <w:rPr>
                <w:b/>
              </w:rPr>
              <w:t>m</w:t>
            </w:r>
          </w:p>
        </w:tc>
      </w:tr>
      <w:tr w:rsidR="004F3510" w:rsidRPr="005A1A62" w14:paraId="1B377825" w14:textId="77777777" w:rsidTr="00E50DF8">
        <w:tc>
          <w:tcPr>
            <w:tcW w:w="2988" w:type="dxa"/>
          </w:tcPr>
          <w:p w14:paraId="227C3C8C" w14:textId="77777777" w:rsidR="004F3510" w:rsidRPr="00914A56" w:rsidRDefault="004F3510" w:rsidP="004F3510">
            <w:r w:rsidRPr="00914A56">
              <w:t>Borrowing</w:t>
            </w:r>
          </w:p>
        </w:tc>
        <w:tc>
          <w:tcPr>
            <w:tcW w:w="1553" w:type="dxa"/>
          </w:tcPr>
          <w:p w14:paraId="132B83EE" w14:textId="77777777" w:rsidR="004F3510" w:rsidRPr="00974DEC" w:rsidRDefault="00357377">
            <w:pPr>
              <w:tabs>
                <w:tab w:val="decimal" w:pos="1062"/>
              </w:tabs>
            </w:pPr>
            <w:r w:rsidRPr="00974DEC">
              <w:t>1,100</w:t>
            </w:r>
          </w:p>
        </w:tc>
        <w:tc>
          <w:tcPr>
            <w:tcW w:w="1553" w:type="dxa"/>
          </w:tcPr>
          <w:p w14:paraId="0770F65D" w14:textId="77777777" w:rsidR="004F3510" w:rsidRPr="00914A56" w:rsidRDefault="00A4232D">
            <w:pPr>
              <w:tabs>
                <w:tab w:val="decimal" w:pos="1062"/>
              </w:tabs>
            </w:pPr>
            <w:r>
              <w:t>1,100</w:t>
            </w:r>
          </w:p>
        </w:tc>
        <w:tc>
          <w:tcPr>
            <w:tcW w:w="1552" w:type="dxa"/>
          </w:tcPr>
          <w:p w14:paraId="13A80A68" w14:textId="77777777" w:rsidR="004F3510" w:rsidRPr="00914A56" w:rsidRDefault="00A4232D" w:rsidP="00A4232D">
            <w:pPr>
              <w:tabs>
                <w:tab w:val="decimal" w:pos="1062"/>
              </w:tabs>
            </w:pPr>
            <w:r>
              <w:t>1,150</w:t>
            </w:r>
          </w:p>
        </w:tc>
        <w:tc>
          <w:tcPr>
            <w:tcW w:w="1553" w:type="dxa"/>
          </w:tcPr>
          <w:p w14:paraId="30A3E93C" w14:textId="77777777" w:rsidR="004F3510" w:rsidRPr="00914A56" w:rsidRDefault="00A4232D" w:rsidP="00A4232D">
            <w:pPr>
              <w:tabs>
                <w:tab w:val="decimal" w:pos="1062"/>
              </w:tabs>
            </w:pPr>
            <w:r>
              <w:t>1,150</w:t>
            </w:r>
          </w:p>
        </w:tc>
      </w:tr>
      <w:tr w:rsidR="00914A56" w:rsidRPr="005A1A62" w14:paraId="35549AE6" w14:textId="77777777" w:rsidTr="00E50DF8">
        <w:tc>
          <w:tcPr>
            <w:tcW w:w="2988" w:type="dxa"/>
          </w:tcPr>
          <w:p w14:paraId="3A08D2A6" w14:textId="77777777" w:rsidR="00914A56" w:rsidRPr="00914A56" w:rsidRDefault="00914A56" w:rsidP="00914A56">
            <w:pPr>
              <w:spacing w:after="240"/>
            </w:pPr>
            <w:r w:rsidRPr="00914A56">
              <w:t>Other long term liabilities</w:t>
            </w:r>
          </w:p>
        </w:tc>
        <w:tc>
          <w:tcPr>
            <w:tcW w:w="1553" w:type="dxa"/>
          </w:tcPr>
          <w:p w14:paraId="7F85EE69" w14:textId="77777777" w:rsidR="00914A56" w:rsidRPr="00974DEC" w:rsidRDefault="00357377" w:rsidP="00914A56">
            <w:pPr>
              <w:tabs>
                <w:tab w:val="decimal" w:pos="1062"/>
              </w:tabs>
              <w:spacing w:after="240"/>
            </w:pPr>
            <w:r w:rsidRPr="00974DEC">
              <w:t>200</w:t>
            </w:r>
          </w:p>
        </w:tc>
        <w:tc>
          <w:tcPr>
            <w:tcW w:w="1553" w:type="dxa"/>
          </w:tcPr>
          <w:p w14:paraId="5018369E" w14:textId="77777777" w:rsidR="00914A56" w:rsidRPr="00914A56" w:rsidRDefault="00A4232D" w:rsidP="00914A56">
            <w:pPr>
              <w:tabs>
                <w:tab w:val="decimal" w:pos="1062"/>
              </w:tabs>
              <w:spacing w:after="240"/>
            </w:pPr>
            <w:r>
              <w:t>200</w:t>
            </w:r>
          </w:p>
        </w:tc>
        <w:tc>
          <w:tcPr>
            <w:tcW w:w="1552" w:type="dxa"/>
          </w:tcPr>
          <w:p w14:paraId="4BF42AA2" w14:textId="77777777" w:rsidR="00914A56" w:rsidRPr="00914A56" w:rsidRDefault="00A4232D" w:rsidP="00914A56">
            <w:pPr>
              <w:tabs>
                <w:tab w:val="decimal" w:pos="1062"/>
              </w:tabs>
              <w:spacing w:after="240"/>
            </w:pPr>
            <w:r>
              <w:t>200</w:t>
            </w:r>
          </w:p>
        </w:tc>
        <w:tc>
          <w:tcPr>
            <w:tcW w:w="1553" w:type="dxa"/>
          </w:tcPr>
          <w:p w14:paraId="71145D85" w14:textId="77777777" w:rsidR="00914A56" w:rsidRPr="00914A56" w:rsidRDefault="00A4232D" w:rsidP="00914A56">
            <w:pPr>
              <w:tabs>
                <w:tab w:val="decimal" w:pos="1062"/>
              </w:tabs>
              <w:spacing w:after="240"/>
            </w:pPr>
            <w:r>
              <w:t>200</w:t>
            </w:r>
          </w:p>
        </w:tc>
      </w:tr>
      <w:tr w:rsidR="00277A17" w:rsidRPr="005A1A62" w14:paraId="29BD8C24" w14:textId="77777777" w:rsidTr="00E50DF8">
        <w:tc>
          <w:tcPr>
            <w:tcW w:w="2988" w:type="dxa"/>
          </w:tcPr>
          <w:p w14:paraId="09C72C78" w14:textId="77777777" w:rsidR="00277A17" w:rsidRPr="00914A56" w:rsidRDefault="00277A17" w:rsidP="004F3510">
            <w:pPr>
              <w:spacing w:after="240"/>
            </w:pPr>
            <w:r w:rsidRPr="00914A56">
              <w:t>TOTAL</w:t>
            </w:r>
          </w:p>
        </w:tc>
        <w:tc>
          <w:tcPr>
            <w:tcW w:w="1553" w:type="dxa"/>
          </w:tcPr>
          <w:p w14:paraId="3901B2F0" w14:textId="77777777" w:rsidR="00277A17" w:rsidRPr="00974DEC" w:rsidRDefault="00357377">
            <w:pPr>
              <w:tabs>
                <w:tab w:val="decimal" w:pos="1062"/>
              </w:tabs>
              <w:spacing w:after="240"/>
            </w:pPr>
            <w:r w:rsidRPr="00974DEC">
              <w:t>1,300</w:t>
            </w:r>
          </w:p>
        </w:tc>
        <w:tc>
          <w:tcPr>
            <w:tcW w:w="1553" w:type="dxa"/>
          </w:tcPr>
          <w:p w14:paraId="113A75A3" w14:textId="77777777" w:rsidR="00277A17" w:rsidRPr="00914A56" w:rsidRDefault="00A4232D">
            <w:pPr>
              <w:tabs>
                <w:tab w:val="decimal" w:pos="1062"/>
              </w:tabs>
              <w:spacing w:after="240"/>
            </w:pPr>
            <w:r>
              <w:t>1,300</w:t>
            </w:r>
          </w:p>
        </w:tc>
        <w:tc>
          <w:tcPr>
            <w:tcW w:w="1552" w:type="dxa"/>
          </w:tcPr>
          <w:p w14:paraId="0ABF9688" w14:textId="77777777" w:rsidR="00277A17" w:rsidRPr="00914A56" w:rsidRDefault="00A4232D">
            <w:pPr>
              <w:tabs>
                <w:tab w:val="decimal" w:pos="1062"/>
              </w:tabs>
              <w:spacing w:after="240"/>
            </w:pPr>
            <w:r>
              <w:t>1,350</w:t>
            </w:r>
          </w:p>
        </w:tc>
        <w:tc>
          <w:tcPr>
            <w:tcW w:w="1553" w:type="dxa"/>
          </w:tcPr>
          <w:p w14:paraId="72FE883D" w14:textId="77777777" w:rsidR="00277A17" w:rsidRPr="00914A56" w:rsidRDefault="00A4232D" w:rsidP="00A4232D">
            <w:pPr>
              <w:tabs>
                <w:tab w:val="decimal" w:pos="1062"/>
              </w:tabs>
              <w:spacing w:after="240"/>
            </w:pPr>
            <w:r>
              <w:t>1,350</w:t>
            </w:r>
          </w:p>
        </w:tc>
      </w:tr>
    </w:tbl>
    <w:p w14:paraId="61DC9B4D" w14:textId="77777777" w:rsidR="00186F66" w:rsidRDefault="00186F66" w:rsidP="00186F66">
      <w:pPr>
        <w:jc w:val="both"/>
        <w:rPr>
          <w:highlight w:val="yellow"/>
        </w:rPr>
      </w:pPr>
    </w:p>
    <w:p w14:paraId="3F4BB0CF" w14:textId="04BFA203" w:rsidR="004F3510" w:rsidRDefault="004F3510" w:rsidP="00186F66">
      <w:pPr>
        <w:jc w:val="both"/>
      </w:pPr>
      <w:r w:rsidRPr="005A1A62">
        <w:t xml:space="preserve">The proposed operational boundary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rsidR="00043461">
        <w:t>c</w:t>
      </w:r>
      <w:r w:rsidR="00F25AD0">
        <w:t>ounty council</w:t>
      </w:r>
      <w:r w:rsidRPr="005A1A62">
        <w:t xml:space="preserve">'s current plans.  As required under the Code, this limit will be carefully monitored during the year.  The proposed operational boundary for external debt </w:t>
      </w:r>
      <w:r w:rsidR="00DC7850">
        <w:t>are</w:t>
      </w:r>
      <w:r w:rsidRPr="005A1A62">
        <w:t>:</w:t>
      </w:r>
    </w:p>
    <w:p w14:paraId="5FEE6A62" w14:textId="77777777" w:rsidR="00923FB2" w:rsidRPr="005A1A62" w:rsidRDefault="00923FB2" w:rsidP="00D635B5">
      <w:pPr>
        <w:spacing w:after="240"/>
        <w:jc w:val="both"/>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2"/>
        <w:gridCol w:w="1553"/>
        <w:gridCol w:w="1552"/>
        <w:gridCol w:w="1553"/>
      </w:tblGrid>
      <w:tr w:rsidR="00E50DF8" w:rsidRPr="00F32DDB" w14:paraId="38B33937" w14:textId="77777777" w:rsidTr="00E50DF8">
        <w:tc>
          <w:tcPr>
            <w:tcW w:w="2988" w:type="dxa"/>
          </w:tcPr>
          <w:p w14:paraId="58740CDD" w14:textId="77777777" w:rsidR="00E50DF8" w:rsidRPr="00F32DDB" w:rsidRDefault="00E50DF8" w:rsidP="00E50DF8"/>
        </w:tc>
        <w:tc>
          <w:tcPr>
            <w:tcW w:w="1552" w:type="dxa"/>
          </w:tcPr>
          <w:p w14:paraId="771E5D43" w14:textId="77777777" w:rsidR="00E50DF8" w:rsidRPr="005A1A62" w:rsidRDefault="00E50DF8" w:rsidP="00E50DF8">
            <w:pPr>
              <w:jc w:val="center"/>
              <w:rPr>
                <w:b/>
              </w:rPr>
            </w:pPr>
            <w:r w:rsidRPr="005A1A62">
              <w:rPr>
                <w:b/>
              </w:rPr>
              <w:t>201</w:t>
            </w:r>
            <w:r w:rsidR="00E83AEB">
              <w:rPr>
                <w:b/>
              </w:rPr>
              <w:t>6</w:t>
            </w:r>
            <w:r w:rsidRPr="005A1A62">
              <w:rPr>
                <w:b/>
              </w:rPr>
              <w:t>/1</w:t>
            </w:r>
            <w:r w:rsidR="00E83AEB">
              <w:rPr>
                <w:b/>
              </w:rPr>
              <w:t>7</w:t>
            </w:r>
          </w:p>
          <w:p w14:paraId="62ECD184" w14:textId="77777777" w:rsidR="00E50DF8" w:rsidRPr="00F32DDB" w:rsidRDefault="00E50DF8" w:rsidP="00E50DF8">
            <w:pPr>
              <w:jc w:val="center"/>
              <w:rPr>
                <w:b/>
              </w:rPr>
            </w:pPr>
            <w:r w:rsidRPr="005A1A62">
              <w:rPr>
                <w:b/>
              </w:rPr>
              <w:t>Revised</w:t>
            </w:r>
          </w:p>
        </w:tc>
        <w:tc>
          <w:tcPr>
            <w:tcW w:w="1553" w:type="dxa"/>
          </w:tcPr>
          <w:p w14:paraId="322EB0A9" w14:textId="77777777" w:rsidR="00E50DF8" w:rsidRPr="00F32DDB" w:rsidRDefault="00E50DF8" w:rsidP="00E83AEB">
            <w:pPr>
              <w:jc w:val="center"/>
              <w:rPr>
                <w:b/>
              </w:rPr>
            </w:pPr>
            <w:r w:rsidRPr="005A1A62">
              <w:rPr>
                <w:b/>
              </w:rPr>
              <w:t>201</w:t>
            </w:r>
            <w:r w:rsidR="00E83AEB">
              <w:rPr>
                <w:b/>
              </w:rPr>
              <w:t>7</w:t>
            </w:r>
            <w:r w:rsidRPr="005A1A62">
              <w:rPr>
                <w:b/>
              </w:rPr>
              <w:t>/1</w:t>
            </w:r>
            <w:r w:rsidR="00E83AEB">
              <w:rPr>
                <w:b/>
              </w:rPr>
              <w:t>8</w:t>
            </w:r>
          </w:p>
        </w:tc>
        <w:tc>
          <w:tcPr>
            <w:tcW w:w="1552" w:type="dxa"/>
          </w:tcPr>
          <w:p w14:paraId="443C18F6" w14:textId="77777777" w:rsidR="00E50DF8" w:rsidRPr="00F32DDB" w:rsidRDefault="00E50DF8" w:rsidP="00E83AEB">
            <w:pPr>
              <w:jc w:val="center"/>
              <w:rPr>
                <w:b/>
              </w:rPr>
            </w:pPr>
            <w:r w:rsidRPr="005A1A62">
              <w:rPr>
                <w:b/>
              </w:rPr>
              <w:t>201</w:t>
            </w:r>
            <w:r w:rsidR="00E83AEB">
              <w:rPr>
                <w:b/>
              </w:rPr>
              <w:t>8</w:t>
            </w:r>
            <w:r w:rsidRPr="005A1A62">
              <w:rPr>
                <w:b/>
              </w:rPr>
              <w:t>/1</w:t>
            </w:r>
            <w:r w:rsidR="00E83AEB">
              <w:rPr>
                <w:b/>
              </w:rPr>
              <w:t>9</w:t>
            </w:r>
          </w:p>
        </w:tc>
        <w:tc>
          <w:tcPr>
            <w:tcW w:w="1553" w:type="dxa"/>
          </w:tcPr>
          <w:p w14:paraId="50967FD7" w14:textId="77777777" w:rsidR="00E50DF8" w:rsidRPr="00F32DDB" w:rsidRDefault="00E50DF8" w:rsidP="00E83AEB">
            <w:pPr>
              <w:jc w:val="center"/>
              <w:rPr>
                <w:b/>
              </w:rPr>
            </w:pPr>
            <w:r w:rsidRPr="005A1A62">
              <w:rPr>
                <w:b/>
              </w:rPr>
              <w:t>201</w:t>
            </w:r>
            <w:r w:rsidR="00E83AEB">
              <w:rPr>
                <w:b/>
              </w:rPr>
              <w:t>9</w:t>
            </w:r>
            <w:r w:rsidRPr="005A1A62">
              <w:rPr>
                <w:b/>
              </w:rPr>
              <w:t>/</w:t>
            </w:r>
            <w:r w:rsidR="00E83AEB">
              <w:rPr>
                <w:b/>
              </w:rPr>
              <w:t>20</w:t>
            </w:r>
          </w:p>
        </w:tc>
      </w:tr>
      <w:tr w:rsidR="004F3510" w:rsidRPr="00F32DDB" w14:paraId="7FF70692" w14:textId="77777777" w:rsidTr="00E50DF8">
        <w:trPr>
          <w:trHeight w:val="570"/>
        </w:trPr>
        <w:tc>
          <w:tcPr>
            <w:tcW w:w="2988" w:type="dxa"/>
          </w:tcPr>
          <w:p w14:paraId="4EA6D237" w14:textId="77777777" w:rsidR="004F3510" w:rsidRPr="00F32DDB" w:rsidRDefault="004F3510" w:rsidP="004F3510">
            <w:pPr>
              <w:spacing w:after="120"/>
            </w:pPr>
          </w:p>
        </w:tc>
        <w:tc>
          <w:tcPr>
            <w:tcW w:w="1552" w:type="dxa"/>
          </w:tcPr>
          <w:p w14:paraId="70DB5CA6" w14:textId="77777777" w:rsidR="004F3510" w:rsidRPr="00F32DDB" w:rsidRDefault="004F3510" w:rsidP="004158C2">
            <w:pPr>
              <w:spacing w:after="120"/>
              <w:jc w:val="center"/>
              <w:rPr>
                <w:b/>
              </w:rPr>
            </w:pPr>
            <w:r w:rsidRPr="00F32DDB">
              <w:rPr>
                <w:b/>
              </w:rPr>
              <w:t>£</w:t>
            </w:r>
            <w:r w:rsidR="004158C2" w:rsidRPr="00F32DDB">
              <w:rPr>
                <w:b/>
              </w:rPr>
              <w:t>m</w:t>
            </w:r>
          </w:p>
        </w:tc>
        <w:tc>
          <w:tcPr>
            <w:tcW w:w="1553" w:type="dxa"/>
          </w:tcPr>
          <w:p w14:paraId="2A7E2FE3" w14:textId="77777777" w:rsidR="004F3510" w:rsidRPr="00F32DDB" w:rsidRDefault="004F3510" w:rsidP="004158C2">
            <w:pPr>
              <w:spacing w:after="120"/>
              <w:jc w:val="center"/>
              <w:rPr>
                <w:b/>
              </w:rPr>
            </w:pPr>
            <w:r w:rsidRPr="00F32DDB">
              <w:rPr>
                <w:b/>
              </w:rPr>
              <w:t>£</w:t>
            </w:r>
            <w:r w:rsidR="004158C2" w:rsidRPr="00F32DDB">
              <w:rPr>
                <w:b/>
              </w:rPr>
              <w:t>m</w:t>
            </w:r>
          </w:p>
        </w:tc>
        <w:tc>
          <w:tcPr>
            <w:tcW w:w="1552" w:type="dxa"/>
          </w:tcPr>
          <w:p w14:paraId="45FFDA60" w14:textId="77777777" w:rsidR="004F3510" w:rsidRPr="00F32DDB" w:rsidRDefault="004F3510" w:rsidP="004158C2">
            <w:pPr>
              <w:spacing w:after="120"/>
              <w:jc w:val="center"/>
              <w:rPr>
                <w:b/>
              </w:rPr>
            </w:pPr>
            <w:r w:rsidRPr="00F32DDB">
              <w:rPr>
                <w:b/>
              </w:rPr>
              <w:t>£</w:t>
            </w:r>
            <w:r w:rsidR="004158C2" w:rsidRPr="00F32DDB">
              <w:rPr>
                <w:b/>
              </w:rPr>
              <w:t>m</w:t>
            </w:r>
          </w:p>
        </w:tc>
        <w:tc>
          <w:tcPr>
            <w:tcW w:w="1553" w:type="dxa"/>
          </w:tcPr>
          <w:p w14:paraId="03697696" w14:textId="77777777" w:rsidR="004F3510" w:rsidRPr="00F32DDB" w:rsidRDefault="004F3510" w:rsidP="004158C2">
            <w:pPr>
              <w:spacing w:after="120"/>
              <w:jc w:val="center"/>
              <w:rPr>
                <w:b/>
              </w:rPr>
            </w:pPr>
            <w:r w:rsidRPr="00F32DDB">
              <w:rPr>
                <w:b/>
              </w:rPr>
              <w:t>£</w:t>
            </w:r>
            <w:r w:rsidR="004158C2" w:rsidRPr="00F32DDB">
              <w:rPr>
                <w:b/>
              </w:rPr>
              <w:t>m</w:t>
            </w:r>
          </w:p>
        </w:tc>
      </w:tr>
      <w:tr w:rsidR="00914A56" w:rsidRPr="00F32DDB" w14:paraId="087D2ADE" w14:textId="77777777" w:rsidTr="00E50DF8">
        <w:tc>
          <w:tcPr>
            <w:tcW w:w="2988" w:type="dxa"/>
          </w:tcPr>
          <w:p w14:paraId="42C40414" w14:textId="77777777" w:rsidR="00914A56" w:rsidRPr="00F861B8" w:rsidRDefault="00914A56" w:rsidP="00914A56">
            <w:pPr>
              <w:rPr>
                <w:highlight w:val="yellow"/>
              </w:rPr>
            </w:pPr>
            <w:r w:rsidRPr="007B2F5D">
              <w:t>Borrowing</w:t>
            </w:r>
          </w:p>
        </w:tc>
        <w:tc>
          <w:tcPr>
            <w:tcW w:w="1552" w:type="dxa"/>
          </w:tcPr>
          <w:p w14:paraId="74DD429D" w14:textId="77777777" w:rsidR="00914A56" w:rsidRPr="00974DEC" w:rsidRDefault="00357377">
            <w:pPr>
              <w:tabs>
                <w:tab w:val="decimal" w:pos="1062"/>
              </w:tabs>
              <w:spacing w:after="240"/>
              <w:jc w:val="center"/>
            </w:pPr>
            <w:r w:rsidRPr="00974DEC">
              <w:t>1,050</w:t>
            </w:r>
          </w:p>
        </w:tc>
        <w:tc>
          <w:tcPr>
            <w:tcW w:w="1553" w:type="dxa"/>
          </w:tcPr>
          <w:p w14:paraId="67516896" w14:textId="77777777" w:rsidR="00914A56" w:rsidRPr="00914A56" w:rsidRDefault="005A0560">
            <w:pPr>
              <w:tabs>
                <w:tab w:val="decimal" w:pos="1062"/>
              </w:tabs>
              <w:spacing w:after="240"/>
              <w:jc w:val="center"/>
            </w:pPr>
            <w:r>
              <w:t>1,075</w:t>
            </w:r>
          </w:p>
        </w:tc>
        <w:tc>
          <w:tcPr>
            <w:tcW w:w="1552" w:type="dxa"/>
          </w:tcPr>
          <w:p w14:paraId="39261D88" w14:textId="77777777" w:rsidR="00914A56" w:rsidRPr="00914A56" w:rsidRDefault="005A0560">
            <w:pPr>
              <w:tabs>
                <w:tab w:val="decimal" w:pos="1062"/>
              </w:tabs>
              <w:spacing w:after="240"/>
              <w:jc w:val="center"/>
            </w:pPr>
            <w:r>
              <w:t>1,100</w:t>
            </w:r>
          </w:p>
        </w:tc>
        <w:tc>
          <w:tcPr>
            <w:tcW w:w="1553" w:type="dxa"/>
          </w:tcPr>
          <w:p w14:paraId="0647B87C" w14:textId="1B85C63C" w:rsidR="00914A56" w:rsidRPr="00914A56" w:rsidRDefault="005A0560" w:rsidP="0008230A">
            <w:pPr>
              <w:tabs>
                <w:tab w:val="decimal" w:pos="1062"/>
              </w:tabs>
              <w:spacing w:after="240"/>
              <w:jc w:val="center"/>
            </w:pPr>
            <w:r>
              <w:t>1,</w:t>
            </w:r>
            <w:r w:rsidR="0008230A">
              <w:t>090</w:t>
            </w:r>
          </w:p>
        </w:tc>
      </w:tr>
      <w:tr w:rsidR="00914A56" w:rsidRPr="00F32DDB" w14:paraId="3145AAA6" w14:textId="77777777" w:rsidTr="00E50DF8">
        <w:tc>
          <w:tcPr>
            <w:tcW w:w="2988" w:type="dxa"/>
          </w:tcPr>
          <w:p w14:paraId="44E23481" w14:textId="77777777" w:rsidR="00914A56" w:rsidRPr="00F861B8" w:rsidRDefault="00914A56" w:rsidP="00914A56">
            <w:pPr>
              <w:spacing w:after="240"/>
              <w:rPr>
                <w:highlight w:val="yellow"/>
              </w:rPr>
            </w:pPr>
            <w:r w:rsidRPr="007B2F5D">
              <w:t>Other long term liabilities</w:t>
            </w:r>
          </w:p>
        </w:tc>
        <w:tc>
          <w:tcPr>
            <w:tcW w:w="1552" w:type="dxa"/>
          </w:tcPr>
          <w:p w14:paraId="350518FF" w14:textId="77777777" w:rsidR="00914A56" w:rsidRPr="00974DEC" w:rsidRDefault="005A0560" w:rsidP="00F861B8">
            <w:pPr>
              <w:tabs>
                <w:tab w:val="decimal" w:pos="1062"/>
              </w:tabs>
              <w:spacing w:after="240"/>
              <w:jc w:val="center"/>
            </w:pPr>
            <w:r w:rsidRPr="00974DEC">
              <w:t>170</w:t>
            </w:r>
          </w:p>
        </w:tc>
        <w:tc>
          <w:tcPr>
            <w:tcW w:w="1553" w:type="dxa"/>
          </w:tcPr>
          <w:p w14:paraId="1F9CCA34" w14:textId="77777777" w:rsidR="00914A56" w:rsidRPr="00914A56" w:rsidRDefault="005A0560" w:rsidP="00F861B8">
            <w:pPr>
              <w:tabs>
                <w:tab w:val="decimal" w:pos="1062"/>
              </w:tabs>
              <w:spacing w:after="240"/>
              <w:jc w:val="center"/>
            </w:pPr>
            <w:r>
              <w:t>170</w:t>
            </w:r>
          </w:p>
        </w:tc>
        <w:tc>
          <w:tcPr>
            <w:tcW w:w="1552" w:type="dxa"/>
          </w:tcPr>
          <w:p w14:paraId="5D05DF04" w14:textId="77777777" w:rsidR="00914A56" w:rsidRPr="00914A56" w:rsidRDefault="005A0560" w:rsidP="00F861B8">
            <w:pPr>
              <w:tabs>
                <w:tab w:val="decimal" w:pos="1062"/>
              </w:tabs>
              <w:spacing w:after="240"/>
              <w:jc w:val="center"/>
            </w:pPr>
            <w:r>
              <w:t>170</w:t>
            </w:r>
          </w:p>
        </w:tc>
        <w:tc>
          <w:tcPr>
            <w:tcW w:w="1553" w:type="dxa"/>
          </w:tcPr>
          <w:p w14:paraId="45498A26" w14:textId="77777777" w:rsidR="00914A56" w:rsidRPr="00914A56" w:rsidRDefault="005A0560" w:rsidP="00F861B8">
            <w:pPr>
              <w:tabs>
                <w:tab w:val="decimal" w:pos="1062"/>
              </w:tabs>
              <w:spacing w:after="240"/>
              <w:jc w:val="center"/>
            </w:pPr>
            <w:r>
              <w:t>170</w:t>
            </w:r>
          </w:p>
        </w:tc>
      </w:tr>
      <w:tr w:rsidR="00914A56" w:rsidRPr="00F32DDB" w14:paraId="13A47F7B" w14:textId="77777777" w:rsidTr="00E50DF8">
        <w:tc>
          <w:tcPr>
            <w:tcW w:w="2988" w:type="dxa"/>
          </w:tcPr>
          <w:p w14:paraId="58B069C9" w14:textId="77777777" w:rsidR="00914A56" w:rsidRPr="00F861B8" w:rsidRDefault="00914A56" w:rsidP="00914A56">
            <w:pPr>
              <w:spacing w:after="240"/>
              <w:rPr>
                <w:highlight w:val="yellow"/>
              </w:rPr>
            </w:pPr>
            <w:r w:rsidRPr="005B0F9C">
              <w:t>TOTAL</w:t>
            </w:r>
          </w:p>
        </w:tc>
        <w:tc>
          <w:tcPr>
            <w:tcW w:w="1552" w:type="dxa"/>
          </w:tcPr>
          <w:p w14:paraId="02D728CD" w14:textId="77777777" w:rsidR="00914A56" w:rsidRPr="00974DEC" w:rsidRDefault="005A0560" w:rsidP="00357377">
            <w:pPr>
              <w:tabs>
                <w:tab w:val="decimal" w:pos="1062"/>
              </w:tabs>
              <w:spacing w:after="240"/>
              <w:jc w:val="center"/>
            </w:pPr>
            <w:r w:rsidRPr="00974DEC">
              <w:t>1,</w:t>
            </w:r>
            <w:r w:rsidR="00357377" w:rsidRPr="00974DEC">
              <w:t>220</w:t>
            </w:r>
          </w:p>
        </w:tc>
        <w:tc>
          <w:tcPr>
            <w:tcW w:w="1553" w:type="dxa"/>
          </w:tcPr>
          <w:p w14:paraId="1344FFB7" w14:textId="77777777" w:rsidR="00914A56" w:rsidRPr="005A0560" w:rsidRDefault="005A0560">
            <w:pPr>
              <w:tabs>
                <w:tab w:val="decimal" w:pos="1062"/>
              </w:tabs>
              <w:spacing w:after="240"/>
              <w:jc w:val="center"/>
            </w:pPr>
            <w:r w:rsidRPr="005A0560">
              <w:t>1,245</w:t>
            </w:r>
          </w:p>
        </w:tc>
        <w:tc>
          <w:tcPr>
            <w:tcW w:w="1552" w:type="dxa"/>
          </w:tcPr>
          <w:p w14:paraId="5912CEA5" w14:textId="77777777" w:rsidR="00914A56" w:rsidRPr="005A0560" w:rsidRDefault="005A0560">
            <w:pPr>
              <w:tabs>
                <w:tab w:val="decimal" w:pos="1062"/>
              </w:tabs>
              <w:spacing w:after="240"/>
              <w:jc w:val="center"/>
            </w:pPr>
            <w:r w:rsidRPr="005A0560">
              <w:t>1,270</w:t>
            </w:r>
          </w:p>
        </w:tc>
        <w:tc>
          <w:tcPr>
            <w:tcW w:w="1553" w:type="dxa"/>
          </w:tcPr>
          <w:p w14:paraId="418E8581" w14:textId="77777777" w:rsidR="00914A56" w:rsidRPr="005A0560" w:rsidRDefault="005A0560">
            <w:pPr>
              <w:tabs>
                <w:tab w:val="decimal" w:pos="1062"/>
              </w:tabs>
              <w:spacing w:after="240"/>
              <w:jc w:val="center"/>
            </w:pPr>
            <w:r w:rsidRPr="005A0560">
              <w:t>1,260</w:t>
            </w:r>
          </w:p>
        </w:tc>
      </w:tr>
    </w:tbl>
    <w:p w14:paraId="28BB4E74" w14:textId="77777777" w:rsidR="00877552" w:rsidRDefault="00877552" w:rsidP="00186F66"/>
    <w:p w14:paraId="34BD7788" w14:textId="38E426B6" w:rsidR="004F3510" w:rsidRDefault="004F3510" w:rsidP="00186F66">
      <w:pPr>
        <w:jc w:val="both"/>
      </w:pPr>
      <w:r w:rsidRPr="00F32DDB">
        <w:t xml:space="preserve">The debt figures include transferred debt which is managed by the </w:t>
      </w:r>
      <w:r w:rsidR="00CE50DA">
        <w:t>C</w:t>
      </w:r>
      <w:r w:rsidR="00F25AD0">
        <w:t xml:space="preserve">ounty </w:t>
      </w:r>
      <w:r w:rsidR="00CE50DA">
        <w:t>C</w:t>
      </w:r>
      <w:r w:rsidR="00F25AD0">
        <w:t>ouncil</w:t>
      </w:r>
      <w:r w:rsidRPr="00F32DDB">
        <w:t xml:space="preserve"> on behalf of other authorities.</w:t>
      </w:r>
      <w:r w:rsidR="00E5600A" w:rsidRPr="00F32DDB">
        <w:t xml:space="preserve"> </w:t>
      </w:r>
      <w:r w:rsidR="00797CA4" w:rsidRPr="00F32DDB">
        <w:t>T</w:t>
      </w:r>
      <w:r w:rsidRPr="00F32DDB">
        <w:t xml:space="preserve">he transferred debt included within the debt indicators is estimated </w:t>
      </w:r>
      <w:r w:rsidR="00DF510A">
        <w:t xml:space="preserve">at the end of each year </w:t>
      </w:r>
      <w:r w:rsidRPr="00F32DDB">
        <w:t>to be:</w:t>
      </w:r>
    </w:p>
    <w:p w14:paraId="639F6981" w14:textId="77777777" w:rsidR="003E4480" w:rsidRPr="00F32DDB" w:rsidRDefault="003E4480" w:rsidP="004F3510">
      <w:pPr>
        <w:spacing w:after="240"/>
      </w:pPr>
      <w:r>
        <w:t xml:space="preserve">                                                                            £m</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tblGrid>
      <w:tr w:rsidR="00B224F9" w:rsidRPr="00DF510A" w14:paraId="15EB8070" w14:textId="77777777" w:rsidTr="00AF4E4F">
        <w:trPr>
          <w:jc w:val="center"/>
        </w:trPr>
        <w:tc>
          <w:tcPr>
            <w:tcW w:w="1440" w:type="dxa"/>
            <w:tcBorders>
              <w:top w:val="single" w:sz="4" w:space="0" w:color="auto"/>
              <w:bottom w:val="single" w:sz="4" w:space="0" w:color="auto"/>
              <w:right w:val="single" w:sz="4" w:space="0" w:color="auto"/>
            </w:tcBorders>
          </w:tcPr>
          <w:p w14:paraId="759F768A" w14:textId="77777777" w:rsidR="00B224F9" w:rsidRPr="00F32DDB" w:rsidRDefault="00B224F9" w:rsidP="00E83AEB">
            <w:pPr>
              <w:jc w:val="center"/>
            </w:pPr>
            <w:r w:rsidRPr="00F32DDB">
              <w:t>201</w:t>
            </w:r>
            <w:r w:rsidR="00E83AEB">
              <w:t>6</w:t>
            </w:r>
            <w:r w:rsidRPr="00F32DDB">
              <w:t>/1</w:t>
            </w:r>
            <w:r w:rsidR="00E83AEB">
              <w:t>7</w:t>
            </w:r>
          </w:p>
        </w:tc>
        <w:tc>
          <w:tcPr>
            <w:tcW w:w="1440" w:type="dxa"/>
            <w:tcBorders>
              <w:top w:val="single" w:sz="4" w:space="0" w:color="auto"/>
              <w:left w:val="single" w:sz="4" w:space="0" w:color="auto"/>
              <w:bottom w:val="single" w:sz="4" w:space="0" w:color="auto"/>
            </w:tcBorders>
          </w:tcPr>
          <w:p w14:paraId="019395EE" w14:textId="77777777" w:rsidR="00B224F9" w:rsidRPr="0011503A" w:rsidRDefault="00533CC3">
            <w:pPr>
              <w:jc w:val="center"/>
            </w:pPr>
            <w:r w:rsidRPr="0011503A">
              <w:t>35.650</w:t>
            </w:r>
          </w:p>
        </w:tc>
      </w:tr>
      <w:tr w:rsidR="00E50DF8" w:rsidRPr="00DF510A" w14:paraId="6271B67D" w14:textId="77777777" w:rsidTr="00AF4E4F">
        <w:trPr>
          <w:jc w:val="center"/>
        </w:trPr>
        <w:tc>
          <w:tcPr>
            <w:tcW w:w="1440" w:type="dxa"/>
            <w:tcBorders>
              <w:top w:val="single" w:sz="4" w:space="0" w:color="auto"/>
              <w:bottom w:val="single" w:sz="4" w:space="0" w:color="auto"/>
              <w:right w:val="single" w:sz="4" w:space="0" w:color="auto"/>
            </w:tcBorders>
          </w:tcPr>
          <w:p w14:paraId="06AB0C47" w14:textId="77777777" w:rsidR="00E50DF8" w:rsidRPr="00F32DDB" w:rsidRDefault="00791840" w:rsidP="00E83AEB">
            <w:pPr>
              <w:jc w:val="center"/>
            </w:pPr>
            <w:r>
              <w:t xml:space="preserve"> </w:t>
            </w:r>
            <w:r w:rsidR="00E50DF8" w:rsidRPr="00F32DDB">
              <w:t>201</w:t>
            </w:r>
            <w:r w:rsidR="00E83AEB">
              <w:t>7</w:t>
            </w:r>
            <w:r w:rsidR="00E50DF8" w:rsidRPr="00F32DDB">
              <w:t>/1</w:t>
            </w:r>
            <w:r w:rsidR="00E83AEB">
              <w:t>8</w:t>
            </w:r>
          </w:p>
        </w:tc>
        <w:tc>
          <w:tcPr>
            <w:tcW w:w="1440" w:type="dxa"/>
            <w:tcBorders>
              <w:top w:val="single" w:sz="4" w:space="0" w:color="auto"/>
              <w:left w:val="single" w:sz="4" w:space="0" w:color="auto"/>
              <w:bottom w:val="single" w:sz="4" w:space="0" w:color="auto"/>
            </w:tcBorders>
          </w:tcPr>
          <w:p w14:paraId="6B02B8A0" w14:textId="77777777" w:rsidR="00E50DF8" w:rsidRPr="0011503A" w:rsidRDefault="003E4480" w:rsidP="00533CC3">
            <w:pPr>
              <w:jc w:val="center"/>
            </w:pPr>
            <w:r w:rsidRPr="0011503A">
              <w:t>3</w:t>
            </w:r>
            <w:r w:rsidR="00533CC3" w:rsidRPr="0011503A">
              <w:t>4.008</w:t>
            </w:r>
          </w:p>
        </w:tc>
      </w:tr>
      <w:tr w:rsidR="00E50DF8" w:rsidRPr="00DF510A" w14:paraId="27D8C8DC" w14:textId="77777777" w:rsidTr="00AF4E4F">
        <w:trPr>
          <w:jc w:val="center"/>
        </w:trPr>
        <w:tc>
          <w:tcPr>
            <w:tcW w:w="1440" w:type="dxa"/>
            <w:tcBorders>
              <w:top w:val="single" w:sz="4" w:space="0" w:color="auto"/>
              <w:bottom w:val="single" w:sz="4" w:space="0" w:color="auto"/>
              <w:right w:val="single" w:sz="4" w:space="0" w:color="auto"/>
            </w:tcBorders>
          </w:tcPr>
          <w:p w14:paraId="3F72D245" w14:textId="77777777" w:rsidR="00E50DF8" w:rsidRPr="00F32DDB" w:rsidRDefault="00E50DF8" w:rsidP="00E83AEB">
            <w:pPr>
              <w:jc w:val="center"/>
            </w:pPr>
            <w:r w:rsidRPr="00F32DDB">
              <w:t>201</w:t>
            </w:r>
            <w:r w:rsidR="00E83AEB">
              <w:t>8</w:t>
            </w:r>
            <w:r w:rsidRPr="00F32DDB">
              <w:t>/1</w:t>
            </w:r>
            <w:r w:rsidR="00E83AEB">
              <w:t>9</w:t>
            </w:r>
          </w:p>
        </w:tc>
        <w:tc>
          <w:tcPr>
            <w:tcW w:w="1440" w:type="dxa"/>
            <w:tcBorders>
              <w:top w:val="single" w:sz="4" w:space="0" w:color="auto"/>
              <w:left w:val="single" w:sz="4" w:space="0" w:color="auto"/>
              <w:bottom w:val="single" w:sz="4" w:space="0" w:color="auto"/>
            </w:tcBorders>
          </w:tcPr>
          <w:p w14:paraId="32F97A62" w14:textId="77777777" w:rsidR="00E50DF8" w:rsidRPr="0011503A" w:rsidRDefault="003E4480" w:rsidP="00533CC3">
            <w:r w:rsidRPr="0011503A">
              <w:t xml:space="preserve">    </w:t>
            </w:r>
            <w:r w:rsidR="00533CC3" w:rsidRPr="0011503A">
              <w:t>32.421</w:t>
            </w:r>
          </w:p>
        </w:tc>
      </w:tr>
      <w:tr w:rsidR="004F3510" w:rsidRPr="00DF510A" w14:paraId="010F1A86" w14:textId="77777777" w:rsidTr="00AF4E4F">
        <w:trPr>
          <w:jc w:val="center"/>
        </w:trPr>
        <w:tc>
          <w:tcPr>
            <w:tcW w:w="1440" w:type="dxa"/>
            <w:tcBorders>
              <w:top w:val="single" w:sz="4" w:space="0" w:color="auto"/>
              <w:bottom w:val="single" w:sz="4" w:space="0" w:color="auto"/>
              <w:right w:val="single" w:sz="4" w:space="0" w:color="auto"/>
            </w:tcBorders>
          </w:tcPr>
          <w:p w14:paraId="429E6FCC" w14:textId="77777777" w:rsidR="004F3510" w:rsidRPr="00F32DDB" w:rsidRDefault="004F3510" w:rsidP="00E83AEB">
            <w:pPr>
              <w:spacing w:after="240"/>
              <w:jc w:val="center"/>
            </w:pPr>
            <w:r w:rsidRPr="00F32DDB">
              <w:t>201</w:t>
            </w:r>
            <w:r w:rsidR="00E83AEB">
              <w:t>9</w:t>
            </w:r>
            <w:r w:rsidRPr="00F32DDB">
              <w:t>/</w:t>
            </w:r>
            <w:r w:rsidR="00E83AEB">
              <w:t>20</w:t>
            </w:r>
          </w:p>
        </w:tc>
        <w:tc>
          <w:tcPr>
            <w:tcW w:w="1440" w:type="dxa"/>
            <w:tcBorders>
              <w:top w:val="single" w:sz="4" w:space="0" w:color="auto"/>
              <w:left w:val="single" w:sz="4" w:space="0" w:color="auto"/>
              <w:bottom w:val="single" w:sz="4" w:space="0" w:color="auto"/>
            </w:tcBorders>
          </w:tcPr>
          <w:p w14:paraId="5333B0B6" w14:textId="77777777" w:rsidR="004F3510" w:rsidRPr="0011503A" w:rsidRDefault="00533CC3">
            <w:pPr>
              <w:spacing w:after="240"/>
              <w:jc w:val="center"/>
            </w:pPr>
            <w:r w:rsidRPr="0011503A">
              <w:t>30.889</w:t>
            </w:r>
          </w:p>
        </w:tc>
      </w:tr>
    </w:tbl>
    <w:p w14:paraId="3B794971" w14:textId="77777777" w:rsidR="00797CA4" w:rsidRPr="00C660FA" w:rsidRDefault="00797CA4" w:rsidP="004F3510">
      <w:pPr>
        <w:pStyle w:val="Heading3"/>
      </w:pPr>
      <w:r w:rsidRPr="00C660FA">
        <w:t>Gross Debt and Capital Financing Requirement</w:t>
      </w:r>
    </w:p>
    <w:p w14:paraId="370347D3" w14:textId="77777777" w:rsidR="00A2720C" w:rsidRDefault="00797CA4" w:rsidP="00186F66">
      <w:pPr>
        <w:pStyle w:val="Heading3"/>
        <w:jc w:val="both"/>
        <w:rPr>
          <w:b w:val="0"/>
        </w:rPr>
      </w:pPr>
      <w:r w:rsidRPr="00C660FA">
        <w:rPr>
          <w:b w:val="0"/>
        </w:rPr>
        <w:t>As a measure of prudence and to ensure that over the medium term debt is only used for a capital purpose</w:t>
      </w:r>
      <w:r w:rsidR="00A2720C" w:rsidRPr="00C660FA">
        <w:rPr>
          <w:b w:val="0"/>
        </w:rPr>
        <w:t xml:space="preserve">, the prudential code requires a comparison of gross debt and the capital financing requirement. The comparison for </w:t>
      </w:r>
      <w:r w:rsidR="00043461">
        <w:rPr>
          <w:b w:val="0"/>
        </w:rPr>
        <w:t xml:space="preserve">the </w:t>
      </w:r>
      <w:r w:rsidR="009A19CB">
        <w:rPr>
          <w:b w:val="0"/>
        </w:rPr>
        <w:t>County C</w:t>
      </w:r>
      <w:r w:rsidR="00F25AD0">
        <w:rPr>
          <w:b w:val="0"/>
        </w:rPr>
        <w:t>ouncil</w:t>
      </w:r>
      <w:r w:rsidR="00A2720C" w:rsidRPr="00C660FA">
        <w:rPr>
          <w:b w:val="0"/>
        </w:rPr>
        <w:t xml:space="preserve"> is shown below:</w:t>
      </w:r>
    </w:p>
    <w:p w14:paraId="13E72B71" w14:textId="77777777" w:rsidR="00992655" w:rsidRPr="00992655" w:rsidRDefault="00992655" w:rsidP="00194D26"/>
    <w:tbl>
      <w:tblPr>
        <w:tblW w:w="772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284"/>
        <w:gridCol w:w="1418"/>
        <w:gridCol w:w="1418"/>
        <w:gridCol w:w="1405"/>
      </w:tblGrid>
      <w:tr w:rsidR="00DF5C1B" w:rsidRPr="00251E91" w14:paraId="27B00DF9" w14:textId="77777777" w:rsidTr="00AF4E4F">
        <w:tc>
          <w:tcPr>
            <w:tcW w:w="2204" w:type="dxa"/>
          </w:tcPr>
          <w:p w14:paraId="267A53F6" w14:textId="77777777" w:rsidR="00DF5C1B" w:rsidRPr="005B473A" w:rsidRDefault="00DF5C1B" w:rsidP="003D5B00"/>
        </w:tc>
        <w:tc>
          <w:tcPr>
            <w:tcW w:w="1284" w:type="dxa"/>
          </w:tcPr>
          <w:p w14:paraId="3DF3C9E7" w14:textId="77777777" w:rsidR="00DF5C1B" w:rsidRPr="00251E91" w:rsidRDefault="00DF5C1B" w:rsidP="00E83AEB">
            <w:pPr>
              <w:tabs>
                <w:tab w:val="left" w:pos="671"/>
              </w:tabs>
              <w:jc w:val="right"/>
              <w:rPr>
                <w:b/>
              </w:rPr>
            </w:pPr>
            <w:r w:rsidRPr="00251E91">
              <w:rPr>
                <w:b/>
              </w:rPr>
              <w:t>31 Mar 201</w:t>
            </w:r>
            <w:r w:rsidR="00E83AEB">
              <w:rPr>
                <w:b/>
              </w:rPr>
              <w:t>7</w:t>
            </w:r>
          </w:p>
        </w:tc>
        <w:tc>
          <w:tcPr>
            <w:tcW w:w="1418" w:type="dxa"/>
          </w:tcPr>
          <w:p w14:paraId="4C956BF9" w14:textId="77777777" w:rsidR="00DF5C1B" w:rsidRPr="00251E91" w:rsidRDefault="00DF5C1B" w:rsidP="00E83AEB">
            <w:pPr>
              <w:jc w:val="right"/>
              <w:rPr>
                <w:b/>
              </w:rPr>
            </w:pPr>
            <w:r w:rsidRPr="00251E91">
              <w:rPr>
                <w:b/>
              </w:rPr>
              <w:t>31 Mar 201</w:t>
            </w:r>
            <w:r w:rsidR="00E83AEB">
              <w:rPr>
                <w:b/>
              </w:rPr>
              <w:t>8</w:t>
            </w:r>
          </w:p>
        </w:tc>
        <w:tc>
          <w:tcPr>
            <w:tcW w:w="1418" w:type="dxa"/>
          </w:tcPr>
          <w:p w14:paraId="1B5C0D1F" w14:textId="77777777" w:rsidR="00DF5C1B" w:rsidRPr="00251E91" w:rsidRDefault="00DF5C1B" w:rsidP="00E83AEB">
            <w:pPr>
              <w:jc w:val="right"/>
              <w:rPr>
                <w:b/>
              </w:rPr>
            </w:pPr>
            <w:r w:rsidRPr="00251E91">
              <w:rPr>
                <w:b/>
              </w:rPr>
              <w:t>31 Mar 201</w:t>
            </w:r>
            <w:r w:rsidR="00E83AEB">
              <w:rPr>
                <w:b/>
              </w:rPr>
              <w:t>9</w:t>
            </w:r>
          </w:p>
        </w:tc>
        <w:tc>
          <w:tcPr>
            <w:tcW w:w="1405" w:type="dxa"/>
          </w:tcPr>
          <w:p w14:paraId="357013B0" w14:textId="77777777" w:rsidR="00DF5C1B" w:rsidRPr="00251E91" w:rsidRDefault="00DF5C1B" w:rsidP="00E83AEB">
            <w:pPr>
              <w:ind w:right="-13"/>
              <w:jc w:val="right"/>
              <w:rPr>
                <w:b/>
              </w:rPr>
            </w:pPr>
            <w:r w:rsidRPr="00251E91">
              <w:rPr>
                <w:b/>
              </w:rPr>
              <w:t>31 Mar 20</w:t>
            </w:r>
            <w:r w:rsidR="00E83AEB">
              <w:rPr>
                <w:b/>
              </w:rPr>
              <w:t>20</w:t>
            </w:r>
          </w:p>
        </w:tc>
      </w:tr>
      <w:tr w:rsidR="00DF5C1B" w:rsidRPr="00251E91" w14:paraId="14B284EA" w14:textId="77777777" w:rsidTr="00AF4E4F">
        <w:tc>
          <w:tcPr>
            <w:tcW w:w="2204" w:type="dxa"/>
          </w:tcPr>
          <w:p w14:paraId="2814C46D" w14:textId="77777777" w:rsidR="00DF5C1B" w:rsidRPr="005B473A" w:rsidRDefault="00DF5C1B" w:rsidP="003D5B00">
            <w:pPr>
              <w:rPr>
                <w:b/>
              </w:rPr>
            </w:pPr>
            <w:r w:rsidRPr="005B473A">
              <w:rPr>
                <w:b/>
              </w:rPr>
              <w:t xml:space="preserve"> </w:t>
            </w:r>
          </w:p>
        </w:tc>
        <w:tc>
          <w:tcPr>
            <w:tcW w:w="1284" w:type="dxa"/>
          </w:tcPr>
          <w:p w14:paraId="3FC06190" w14:textId="77777777" w:rsidR="00DF5C1B" w:rsidRPr="00251E91" w:rsidRDefault="00DF5C1B" w:rsidP="003D5B00">
            <w:pPr>
              <w:tabs>
                <w:tab w:val="left" w:pos="671"/>
              </w:tabs>
              <w:jc w:val="center"/>
              <w:rPr>
                <w:b/>
              </w:rPr>
            </w:pPr>
            <w:r w:rsidRPr="00251E91">
              <w:rPr>
                <w:b/>
              </w:rPr>
              <w:t xml:space="preserve">        £m</w:t>
            </w:r>
          </w:p>
        </w:tc>
        <w:tc>
          <w:tcPr>
            <w:tcW w:w="1418" w:type="dxa"/>
          </w:tcPr>
          <w:p w14:paraId="526BB497" w14:textId="77777777" w:rsidR="00DF5C1B" w:rsidRPr="00251E91" w:rsidRDefault="00DF5C1B" w:rsidP="003D5B00">
            <w:pPr>
              <w:jc w:val="center"/>
              <w:rPr>
                <w:b/>
              </w:rPr>
            </w:pPr>
            <w:r w:rsidRPr="00251E91">
              <w:rPr>
                <w:b/>
              </w:rPr>
              <w:t xml:space="preserve">           £m</w:t>
            </w:r>
          </w:p>
        </w:tc>
        <w:tc>
          <w:tcPr>
            <w:tcW w:w="1418" w:type="dxa"/>
          </w:tcPr>
          <w:p w14:paraId="08FBF88C" w14:textId="77777777" w:rsidR="00DF5C1B" w:rsidRPr="00251E91" w:rsidRDefault="00DF5C1B" w:rsidP="003D5B00">
            <w:pPr>
              <w:jc w:val="center"/>
              <w:rPr>
                <w:b/>
              </w:rPr>
            </w:pPr>
            <w:r w:rsidRPr="00251E91">
              <w:rPr>
                <w:b/>
              </w:rPr>
              <w:t xml:space="preserve">          £m</w:t>
            </w:r>
          </w:p>
        </w:tc>
        <w:tc>
          <w:tcPr>
            <w:tcW w:w="1405" w:type="dxa"/>
          </w:tcPr>
          <w:p w14:paraId="457AD7B8" w14:textId="77777777" w:rsidR="00DF5C1B" w:rsidRPr="00251E91" w:rsidRDefault="00DF5C1B" w:rsidP="003D5B00">
            <w:pPr>
              <w:ind w:right="-13"/>
              <w:jc w:val="center"/>
              <w:rPr>
                <w:b/>
              </w:rPr>
            </w:pPr>
            <w:r w:rsidRPr="00251E91">
              <w:rPr>
                <w:b/>
              </w:rPr>
              <w:t xml:space="preserve">         £m</w:t>
            </w:r>
          </w:p>
        </w:tc>
      </w:tr>
      <w:tr w:rsidR="00DF5C1B" w:rsidRPr="00251E91" w14:paraId="676BB29E" w14:textId="77777777" w:rsidTr="00AF4E4F">
        <w:tc>
          <w:tcPr>
            <w:tcW w:w="2204" w:type="dxa"/>
          </w:tcPr>
          <w:p w14:paraId="1FA1BB09" w14:textId="77777777" w:rsidR="00DF5C1B" w:rsidRPr="005B473A" w:rsidRDefault="00DF5C1B" w:rsidP="003D5B00"/>
        </w:tc>
        <w:tc>
          <w:tcPr>
            <w:tcW w:w="1284" w:type="dxa"/>
          </w:tcPr>
          <w:p w14:paraId="1A90FA53" w14:textId="77777777" w:rsidR="00DF5C1B" w:rsidRPr="00251E91" w:rsidRDefault="00DF5C1B" w:rsidP="003D5B00">
            <w:pPr>
              <w:tabs>
                <w:tab w:val="left" w:pos="671"/>
              </w:tabs>
              <w:jc w:val="right"/>
            </w:pPr>
          </w:p>
        </w:tc>
        <w:tc>
          <w:tcPr>
            <w:tcW w:w="1418" w:type="dxa"/>
          </w:tcPr>
          <w:p w14:paraId="46E00284" w14:textId="77777777" w:rsidR="00DF5C1B" w:rsidRPr="00251E91" w:rsidRDefault="00DF5C1B" w:rsidP="003D5B00">
            <w:pPr>
              <w:jc w:val="right"/>
            </w:pPr>
          </w:p>
        </w:tc>
        <w:tc>
          <w:tcPr>
            <w:tcW w:w="1418" w:type="dxa"/>
          </w:tcPr>
          <w:p w14:paraId="1ACD5CEB" w14:textId="77777777" w:rsidR="00DF5C1B" w:rsidRPr="00251E91" w:rsidRDefault="00DF5C1B" w:rsidP="003D5B00">
            <w:pPr>
              <w:jc w:val="right"/>
            </w:pPr>
          </w:p>
        </w:tc>
        <w:tc>
          <w:tcPr>
            <w:tcW w:w="1405" w:type="dxa"/>
          </w:tcPr>
          <w:p w14:paraId="53726A7A" w14:textId="77777777" w:rsidR="00DF5C1B" w:rsidRPr="00251E91" w:rsidRDefault="00DF5C1B" w:rsidP="003D5B00">
            <w:pPr>
              <w:ind w:right="-13"/>
              <w:jc w:val="right"/>
            </w:pPr>
          </w:p>
        </w:tc>
      </w:tr>
      <w:tr w:rsidR="00DF5C1B" w:rsidRPr="00F63785" w14:paraId="68EFA7F3" w14:textId="77777777" w:rsidTr="00AF4E4F">
        <w:tc>
          <w:tcPr>
            <w:tcW w:w="2204" w:type="dxa"/>
          </w:tcPr>
          <w:p w14:paraId="29B0519C" w14:textId="77777777" w:rsidR="00DF5C1B" w:rsidRPr="005B473A" w:rsidRDefault="00DF5C1B" w:rsidP="003D5B00"/>
        </w:tc>
        <w:tc>
          <w:tcPr>
            <w:tcW w:w="1284" w:type="dxa"/>
          </w:tcPr>
          <w:p w14:paraId="6C378AF6" w14:textId="77777777" w:rsidR="00DF5C1B" w:rsidRPr="00F63785" w:rsidRDefault="00DF5C1B" w:rsidP="003D5B00">
            <w:pPr>
              <w:tabs>
                <w:tab w:val="left" w:pos="671"/>
              </w:tabs>
              <w:jc w:val="right"/>
              <w:rPr>
                <w:highlight w:val="yellow"/>
              </w:rPr>
            </w:pPr>
          </w:p>
        </w:tc>
        <w:tc>
          <w:tcPr>
            <w:tcW w:w="1418" w:type="dxa"/>
          </w:tcPr>
          <w:p w14:paraId="29DAEF89" w14:textId="77777777" w:rsidR="00DF5C1B" w:rsidRPr="00F63785" w:rsidRDefault="00DF5C1B" w:rsidP="003D5B00">
            <w:pPr>
              <w:jc w:val="right"/>
              <w:rPr>
                <w:highlight w:val="yellow"/>
              </w:rPr>
            </w:pPr>
          </w:p>
        </w:tc>
        <w:tc>
          <w:tcPr>
            <w:tcW w:w="1418" w:type="dxa"/>
          </w:tcPr>
          <w:p w14:paraId="4F243176" w14:textId="77777777" w:rsidR="00DF5C1B" w:rsidRPr="00F63785" w:rsidRDefault="00DF5C1B" w:rsidP="003D5B00">
            <w:pPr>
              <w:jc w:val="right"/>
              <w:rPr>
                <w:highlight w:val="yellow"/>
              </w:rPr>
            </w:pPr>
          </w:p>
        </w:tc>
        <w:tc>
          <w:tcPr>
            <w:tcW w:w="1405" w:type="dxa"/>
          </w:tcPr>
          <w:p w14:paraId="3A8A5BC7" w14:textId="77777777" w:rsidR="00DF5C1B" w:rsidRPr="00F63785" w:rsidRDefault="00DF5C1B" w:rsidP="003D5B00">
            <w:pPr>
              <w:ind w:right="-13"/>
              <w:jc w:val="right"/>
              <w:rPr>
                <w:highlight w:val="yellow"/>
              </w:rPr>
            </w:pPr>
          </w:p>
        </w:tc>
      </w:tr>
      <w:tr w:rsidR="00DF5C1B" w:rsidRPr="00251E91" w14:paraId="6F31C706" w14:textId="77777777" w:rsidTr="00AF4E4F">
        <w:tc>
          <w:tcPr>
            <w:tcW w:w="2204" w:type="dxa"/>
          </w:tcPr>
          <w:p w14:paraId="4D0AFA21" w14:textId="77777777" w:rsidR="00DF5C1B" w:rsidRPr="00F861B8" w:rsidRDefault="00DF5C1B" w:rsidP="003D5B00">
            <w:pPr>
              <w:rPr>
                <w:b/>
              </w:rPr>
            </w:pPr>
            <w:r w:rsidRPr="00F861B8">
              <w:rPr>
                <w:b/>
              </w:rPr>
              <w:t>Borrowing CFR</w:t>
            </w:r>
          </w:p>
        </w:tc>
        <w:tc>
          <w:tcPr>
            <w:tcW w:w="1284" w:type="dxa"/>
          </w:tcPr>
          <w:p w14:paraId="392AB08F" w14:textId="77777777" w:rsidR="00DF5C1B" w:rsidRPr="00C01327" w:rsidRDefault="003E4480" w:rsidP="003D5B00">
            <w:pPr>
              <w:tabs>
                <w:tab w:val="left" w:pos="671"/>
              </w:tabs>
              <w:jc w:val="right"/>
              <w:rPr>
                <w:b/>
              </w:rPr>
            </w:pPr>
            <w:r w:rsidRPr="00C01327">
              <w:rPr>
                <w:b/>
              </w:rPr>
              <w:t>842.931</w:t>
            </w:r>
          </w:p>
        </w:tc>
        <w:tc>
          <w:tcPr>
            <w:tcW w:w="1418" w:type="dxa"/>
            <w:shd w:val="clear" w:color="auto" w:fill="auto"/>
          </w:tcPr>
          <w:p w14:paraId="35C43F5B" w14:textId="77777777" w:rsidR="00DF5C1B" w:rsidRPr="00C01327" w:rsidRDefault="003E4480" w:rsidP="003D5B00">
            <w:pPr>
              <w:jc w:val="right"/>
              <w:rPr>
                <w:b/>
              </w:rPr>
            </w:pPr>
            <w:r w:rsidRPr="00C01327">
              <w:rPr>
                <w:b/>
              </w:rPr>
              <w:t>843.982</w:t>
            </w:r>
          </w:p>
        </w:tc>
        <w:tc>
          <w:tcPr>
            <w:tcW w:w="1418" w:type="dxa"/>
            <w:shd w:val="clear" w:color="auto" w:fill="auto"/>
          </w:tcPr>
          <w:p w14:paraId="44BF64FE" w14:textId="77777777" w:rsidR="00DF5C1B" w:rsidRPr="00C01327" w:rsidRDefault="003E4480" w:rsidP="003D5B00">
            <w:pPr>
              <w:jc w:val="right"/>
              <w:rPr>
                <w:b/>
              </w:rPr>
            </w:pPr>
            <w:r w:rsidRPr="00C01327">
              <w:rPr>
                <w:b/>
              </w:rPr>
              <w:t>881.277</w:t>
            </w:r>
          </w:p>
        </w:tc>
        <w:tc>
          <w:tcPr>
            <w:tcW w:w="1405" w:type="dxa"/>
            <w:shd w:val="clear" w:color="auto" w:fill="auto"/>
          </w:tcPr>
          <w:p w14:paraId="7D92436E" w14:textId="77777777" w:rsidR="00DF5C1B" w:rsidRPr="00C01327" w:rsidRDefault="003E4480" w:rsidP="003D5B00">
            <w:pPr>
              <w:ind w:right="-13"/>
              <w:jc w:val="right"/>
              <w:rPr>
                <w:b/>
              </w:rPr>
            </w:pPr>
            <w:r w:rsidRPr="00C01327">
              <w:rPr>
                <w:b/>
              </w:rPr>
              <w:t>881.008</w:t>
            </w:r>
          </w:p>
        </w:tc>
      </w:tr>
      <w:tr w:rsidR="00DF5C1B" w:rsidRPr="00F63785" w14:paraId="1F6CC0E6" w14:textId="77777777" w:rsidTr="00AF4E4F">
        <w:tc>
          <w:tcPr>
            <w:tcW w:w="2204" w:type="dxa"/>
          </w:tcPr>
          <w:p w14:paraId="63AD18F4" w14:textId="77777777" w:rsidR="00DF5C1B" w:rsidRPr="001143BB" w:rsidRDefault="00DF5C1B" w:rsidP="003D5B00">
            <w:pPr>
              <w:rPr>
                <w:highlight w:val="yellow"/>
              </w:rPr>
            </w:pPr>
          </w:p>
        </w:tc>
        <w:tc>
          <w:tcPr>
            <w:tcW w:w="1284" w:type="dxa"/>
          </w:tcPr>
          <w:p w14:paraId="02A33883" w14:textId="77777777" w:rsidR="00DF5C1B" w:rsidRPr="00C01327" w:rsidRDefault="00DF5C1B" w:rsidP="003D5B00">
            <w:pPr>
              <w:tabs>
                <w:tab w:val="left" w:pos="671"/>
              </w:tabs>
              <w:jc w:val="right"/>
            </w:pPr>
          </w:p>
        </w:tc>
        <w:tc>
          <w:tcPr>
            <w:tcW w:w="1418" w:type="dxa"/>
          </w:tcPr>
          <w:p w14:paraId="4ABBB455" w14:textId="77777777" w:rsidR="00DF5C1B" w:rsidRPr="00F63785" w:rsidRDefault="00DF5C1B" w:rsidP="003D5B00">
            <w:pPr>
              <w:jc w:val="right"/>
              <w:rPr>
                <w:highlight w:val="yellow"/>
              </w:rPr>
            </w:pPr>
          </w:p>
        </w:tc>
        <w:tc>
          <w:tcPr>
            <w:tcW w:w="1418" w:type="dxa"/>
          </w:tcPr>
          <w:p w14:paraId="1E020A4F" w14:textId="77777777" w:rsidR="00DF5C1B" w:rsidRPr="00F63785" w:rsidRDefault="00DF5C1B" w:rsidP="003D5B00">
            <w:pPr>
              <w:jc w:val="right"/>
              <w:rPr>
                <w:highlight w:val="yellow"/>
              </w:rPr>
            </w:pPr>
          </w:p>
        </w:tc>
        <w:tc>
          <w:tcPr>
            <w:tcW w:w="1405" w:type="dxa"/>
          </w:tcPr>
          <w:p w14:paraId="4F52329E" w14:textId="77777777" w:rsidR="00DF5C1B" w:rsidRPr="00F63785" w:rsidRDefault="00DF5C1B" w:rsidP="003D5B00">
            <w:pPr>
              <w:ind w:right="-13"/>
              <w:jc w:val="right"/>
              <w:rPr>
                <w:highlight w:val="yellow"/>
              </w:rPr>
            </w:pPr>
          </w:p>
        </w:tc>
      </w:tr>
      <w:tr w:rsidR="00DF5C1B" w:rsidRPr="00251E91" w14:paraId="3A13D5F2" w14:textId="77777777" w:rsidTr="00AF4E4F">
        <w:tc>
          <w:tcPr>
            <w:tcW w:w="2204" w:type="dxa"/>
          </w:tcPr>
          <w:p w14:paraId="2A3107CE" w14:textId="77777777" w:rsidR="00DF5C1B" w:rsidRPr="00F0114F" w:rsidRDefault="00DF5C1B" w:rsidP="003D5B00">
            <w:r w:rsidRPr="00F0114F">
              <w:t>Loans Borrowed (31March estimate)</w:t>
            </w:r>
          </w:p>
        </w:tc>
        <w:tc>
          <w:tcPr>
            <w:tcW w:w="1284" w:type="dxa"/>
          </w:tcPr>
          <w:p w14:paraId="360531EB" w14:textId="1F9B932E" w:rsidR="00DF5C1B" w:rsidRPr="00C01327" w:rsidRDefault="005A13F1" w:rsidP="0008230A">
            <w:pPr>
              <w:tabs>
                <w:tab w:val="left" w:pos="671"/>
              </w:tabs>
              <w:jc w:val="right"/>
            </w:pPr>
            <w:r w:rsidRPr="00C01327">
              <w:t>1,0</w:t>
            </w:r>
            <w:r w:rsidR="009742CA" w:rsidRPr="00C01327">
              <w:t>07</w:t>
            </w:r>
            <w:r w:rsidRPr="00C01327">
              <w:t>.</w:t>
            </w:r>
            <w:r w:rsidR="0008230A">
              <w:t>2</w:t>
            </w:r>
            <w:r w:rsidRPr="00C01327">
              <w:t>07</w:t>
            </w:r>
            <w:r w:rsidR="00AC775A" w:rsidRPr="00C01327">
              <w:t xml:space="preserve"> </w:t>
            </w:r>
          </w:p>
        </w:tc>
        <w:tc>
          <w:tcPr>
            <w:tcW w:w="1418" w:type="dxa"/>
          </w:tcPr>
          <w:p w14:paraId="0058D42D" w14:textId="77777777" w:rsidR="00DF5C1B" w:rsidRPr="00251E91" w:rsidRDefault="005A13F1" w:rsidP="00C01327">
            <w:pPr>
              <w:jc w:val="right"/>
            </w:pPr>
            <w:r>
              <w:t>1,</w:t>
            </w:r>
            <w:r w:rsidR="00C01327">
              <w:t>003.316</w:t>
            </w:r>
          </w:p>
        </w:tc>
        <w:tc>
          <w:tcPr>
            <w:tcW w:w="1418" w:type="dxa"/>
          </w:tcPr>
          <w:p w14:paraId="6AD0609E" w14:textId="77777777" w:rsidR="00DF5C1B" w:rsidRPr="00251E91" w:rsidRDefault="005A13F1" w:rsidP="00C01327">
            <w:pPr>
              <w:jc w:val="right"/>
            </w:pPr>
            <w:r>
              <w:t>1,</w:t>
            </w:r>
            <w:r w:rsidR="00C01327">
              <w:t>035.724</w:t>
            </w:r>
          </w:p>
        </w:tc>
        <w:tc>
          <w:tcPr>
            <w:tcW w:w="1405" w:type="dxa"/>
          </w:tcPr>
          <w:p w14:paraId="571775EC" w14:textId="77777777" w:rsidR="00DF5C1B" w:rsidRPr="00251E91" w:rsidRDefault="00C01327" w:rsidP="009742CA">
            <w:pPr>
              <w:ind w:right="-13"/>
              <w:jc w:val="right"/>
            </w:pPr>
            <w:r>
              <w:t>1,029.623</w:t>
            </w:r>
          </w:p>
        </w:tc>
      </w:tr>
      <w:tr w:rsidR="00DF5C1B" w:rsidRPr="00251E91" w14:paraId="5DDF9B04" w14:textId="77777777" w:rsidTr="00AF4E4F">
        <w:trPr>
          <w:trHeight w:val="329"/>
        </w:trPr>
        <w:tc>
          <w:tcPr>
            <w:tcW w:w="2204" w:type="dxa"/>
          </w:tcPr>
          <w:p w14:paraId="26037E61" w14:textId="77777777" w:rsidR="00DF5C1B" w:rsidRPr="00F0114F" w:rsidRDefault="00DF5C1B" w:rsidP="003D5B00"/>
        </w:tc>
        <w:tc>
          <w:tcPr>
            <w:tcW w:w="1284" w:type="dxa"/>
          </w:tcPr>
          <w:p w14:paraId="6F14246E" w14:textId="77777777" w:rsidR="00DF5C1B" w:rsidRPr="00251E91" w:rsidRDefault="00DF5C1B" w:rsidP="003D5B00">
            <w:pPr>
              <w:tabs>
                <w:tab w:val="left" w:pos="671"/>
              </w:tabs>
              <w:jc w:val="right"/>
            </w:pPr>
          </w:p>
        </w:tc>
        <w:tc>
          <w:tcPr>
            <w:tcW w:w="1418" w:type="dxa"/>
          </w:tcPr>
          <w:p w14:paraId="72C67DF4" w14:textId="77777777" w:rsidR="00DF5C1B" w:rsidRPr="00251E91" w:rsidRDefault="00DF5C1B" w:rsidP="003D5B00">
            <w:pPr>
              <w:jc w:val="right"/>
            </w:pPr>
          </w:p>
        </w:tc>
        <w:tc>
          <w:tcPr>
            <w:tcW w:w="1418" w:type="dxa"/>
          </w:tcPr>
          <w:p w14:paraId="43DAEC5B" w14:textId="77777777" w:rsidR="00DF5C1B" w:rsidRPr="00251E91" w:rsidRDefault="00DF5C1B" w:rsidP="003D5B00">
            <w:pPr>
              <w:jc w:val="right"/>
            </w:pPr>
          </w:p>
        </w:tc>
        <w:tc>
          <w:tcPr>
            <w:tcW w:w="1405" w:type="dxa"/>
          </w:tcPr>
          <w:p w14:paraId="40AA3C7F" w14:textId="77777777" w:rsidR="00DF5C1B" w:rsidRPr="00251E91" w:rsidRDefault="00DF5C1B" w:rsidP="003D5B00">
            <w:pPr>
              <w:ind w:right="-13"/>
              <w:jc w:val="right"/>
            </w:pPr>
          </w:p>
        </w:tc>
      </w:tr>
      <w:tr w:rsidR="00DF5C1B" w:rsidRPr="00251E91" w14:paraId="0B663E96" w14:textId="77777777" w:rsidTr="00AF4E4F">
        <w:tc>
          <w:tcPr>
            <w:tcW w:w="2204" w:type="dxa"/>
          </w:tcPr>
          <w:p w14:paraId="664AE236" w14:textId="77777777" w:rsidR="00DF5C1B" w:rsidRPr="002338FB" w:rsidRDefault="00DF5C1B" w:rsidP="003D5B00">
            <w:pPr>
              <w:rPr>
                <w:b/>
              </w:rPr>
            </w:pPr>
            <w:r w:rsidRPr="002338FB">
              <w:rPr>
                <w:b/>
              </w:rPr>
              <w:t>Borrowing Above CFR</w:t>
            </w:r>
          </w:p>
        </w:tc>
        <w:tc>
          <w:tcPr>
            <w:tcW w:w="1284" w:type="dxa"/>
          </w:tcPr>
          <w:p w14:paraId="61D511D3" w14:textId="77777777" w:rsidR="00DF5C1B" w:rsidRPr="00251E91" w:rsidRDefault="009742CA" w:rsidP="003D5B00">
            <w:pPr>
              <w:tabs>
                <w:tab w:val="left" w:pos="671"/>
              </w:tabs>
              <w:jc w:val="right"/>
              <w:rPr>
                <w:b/>
              </w:rPr>
            </w:pPr>
            <w:r>
              <w:rPr>
                <w:b/>
              </w:rPr>
              <w:t>164.276</w:t>
            </w:r>
          </w:p>
        </w:tc>
        <w:tc>
          <w:tcPr>
            <w:tcW w:w="1418" w:type="dxa"/>
          </w:tcPr>
          <w:p w14:paraId="4619AE2F" w14:textId="77777777" w:rsidR="00DF5C1B" w:rsidRPr="00251E91" w:rsidRDefault="00C01327" w:rsidP="003D5B00">
            <w:pPr>
              <w:jc w:val="right"/>
              <w:rPr>
                <w:b/>
              </w:rPr>
            </w:pPr>
            <w:r>
              <w:rPr>
                <w:b/>
              </w:rPr>
              <w:t>159.334</w:t>
            </w:r>
          </w:p>
        </w:tc>
        <w:tc>
          <w:tcPr>
            <w:tcW w:w="1418" w:type="dxa"/>
          </w:tcPr>
          <w:p w14:paraId="623C1571" w14:textId="77777777" w:rsidR="00DF5C1B" w:rsidRPr="00251E91" w:rsidRDefault="00C01327" w:rsidP="003D5B00">
            <w:pPr>
              <w:jc w:val="right"/>
              <w:rPr>
                <w:b/>
              </w:rPr>
            </w:pPr>
            <w:r>
              <w:rPr>
                <w:b/>
              </w:rPr>
              <w:t>154.447</w:t>
            </w:r>
          </w:p>
        </w:tc>
        <w:tc>
          <w:tcPr>
            <w:tcW w:w="1405" w:type="dxa"/>
          </w:tcPr>
          <w:p w14:paraId="360F7E1F" w14:textId="77777777" w:rsidR="00DF5C1B" w:rsidRPr="00251E91" w:rsidRDefault="00C01327" w:rsidP="003D5B00">
            <w:pPr>
              <w:ind w:right="-13"/>
              <w:jc w:val="right"/>
              <w:rPr>
                <w:b/>
              </w:rPr>
            </w:pPr>
            <w:r>
              <w:rPr>
                <w:b/>
              </w:rPr>
              <w:t>148.615</w:t>
            </w:r>
          </w:p>
        </w:tc>
      </w:tr>
      <w:tr w:rsidR="00DF5C1B" w:rsidRPr="00251E91" w14:paraId="320251C2" w14:textId="77777777" w:rsidTr="00AF4E4F">
        <w:tc>
          <w:tcPr>
            <w:tcW w:w="2204" w:type="dxa"/>
          </w:tcPr>
          <w:p w14:paraId="6C7BB35E" w14:textId="77777777" w:rsidR="00DF5C1B" w:rsidRPr="002338FB" w:rsidRDefault="00DF5C1B" w:rsidP="003D5B00"/>
        </w:tc>
        <w:tc>
          <w:tcPr>
            <w:tcW w:w="1284" w:type="dxa"/>
          </w:tcPr>
          <w:p w14:paraId="609D03CC" w14:textId="77777777" w:rsidR="00DF5C1B" w:rsidRPr="00251E91" w:rsidRDefault="00DF5C1B" w:rsidP="003D5B00">
            <w:pPr>
              <w:tabs>
                <w:tab w:val="left" w:pos="671"/>
              </w:tabs>
              <w:jc w:val="right"/>
            </w:pPr>
          </w:p>
        </w:tc>
        <w:tc>
          <w:tcPr>
            <w:tcW w:w="1418" w:type="dxa"/>
          </w:tcPr>
          <w:p w14:paraId="02A7A39F" w14:textId="77777777" w:rsidR="00DF5C1B" w:rsidRPr="00251E91" w:rsidRDefault="00DF5C1B" w:rsidP="003D5B00">
            <w:pPr>
              <w:jc w:val="right"/>
            </w:pPr>
          </w:p>
        </w:tc>
        <w:tc>
          <w:tcPr>
            <w:tcW w:w="1418" w:type="dxa"/>
          </w:tcPr>
          <w:p w14:paraId="743CBD8F" w14:textId="77777777" w:rsidR="00DF5C1B" w:rsidRPr="00251E91" w:rsidRDefault="00DF5C1B" w:rsidP="003D5B00">
            <w:pPr>
              <w:jc w:val="right"/>
            </w:pPr>
          </w:p>
        </w:tc>
        <w:tc>
          <w:tcPr>
            <w:tcW w:w="1405" w:type="dxa"/>
          </w:tcPr>
          <w:p w14:paraId="59411CFF" w14:textId="77777777" w:rsidR="00DF5C1B" w:rsidRPr="00251E91" w:rsidRDefault="00DF5C1B" w:rsidP="003D5B00">
            <w:pPr>
              <w:ind w:right="-13"/>
              <w:jc w:val="right"/>
            </w:pPr>
          </w:p>
        </w:tc>
      </w:tr>
      <w:tr w:rsidR="00DF5C1B" w:rsidRPr="00251E91" w14:paraId="0D953C2E" w14:textId="77777777" w:rsidTr="00AF4E4F">
        <w:tc>
          <w:tcPr>
            <w:tcW w:w="2204" w:type="dxa"/>
          </w:tcPr>
          <w:p w14:paraId="1E074144" w14:textId="77777777" w:rsidR="00DF5C1B" w:rsidRPr="002338FB" w:rsidRDefault="00DF5C1B" w:rsidP="003D5B00">
            <w:pPr>
              <w:rPr>
                <w:i/>
              </w:rPr>
            </w:pPr>
            <w:r w:rsidRPr="002338FB">
              <w:rPr>
                <w:i/>
              </w:rPr>
              <w:t>Comprising:</w:t>
            </w:r>
          </w:p>
        </w:tc>
        <w:tc>
          <w:tcPr>
            <w:tcW w:w="1284" w:type="dxa"/>
          </w:tcPr>
          <w:p w14:paraId="175F939D" w14:textId="77777777" w:rsidR="00DF5C1B" w:rsidRPr="00251E91" w:rsidRDefault="00DF5C1B" w:rsidP="003D5B00">
            <w:pPr>
              <w:tabs>
                <w:tab w:val="left" w:pos="671"/>
              </w:tabs>
              <w:jc w:val="right"/>
            </w:pPr>
          </w:p>
        </w:tc>
        <w:tc>
          <w:tcPr>
            <w:tcW w:w="1418" w:type="dxa"/>
          </w:tcPr>
          <w:p w14:paraId="48AEB392" w14:textId="77777777" w:rsidR="00DF5C1B" w:rsidRPr="00251E91" w:rsidRDefault="00DF5C1B" w:rsidP="003D5B00">
            <w:pPr>
              <w:jc w:val="right"/>
            </w:pPr>
          </w:p>
        </w:tc>
        <w:tc>
          <w:tcPr>
            <w:tcW w:w="1418" w:type="dxa"/>
          </w:tcPr>
          <w:p w14:paraId="712BB117" w14:textId="77777777" w:rsidR="00DF5C1B" w:rsidRPr="00251E91" w:rsidRDefault="00DF5C1B" w:rsidP="003D5B00">
            <w:pPr>
              <w:jc w:val="right"/>
            </w:pPr>
          </w:p>
        </w:tc>
        <w:tc>
          <w:tcPr>
            <w:tcW w:w="1405" w:type="dxa"/>
          </w:tcPr>
          <w:p w14:paraId="3435C361" w14:textId="77777777" w:rsidR="00DF5C1B" w:rsidRPr="00251E91" w:rsidRDefault="00DF5C1B" w:rsidP="003D5B00">
            <w:pPr>
              <w:ind w:right="-13"/>
              <w:jc w:val="right"/>
            </w:pPr>
          </w:p>
        </w:tc>
      </w:tr>
      <w:tr w:rsidR="0011503A" w:rsidRPr="00251E91" w:rsidDel="00272267" w14:paraId="513EF886" w14:textId="77777777" w:rsidTr="00AF4E4F">
        <w:tc>
          <w:tcPr>
            <w:tcW w:w="2204" w:type="dxa"/>
            <w:shd w:val="clear" w:color="auto" w:fill="auto"/>
            <w:vAlign w:val="center"/>
          </w:tcPr>
          <w:p w14:paraId="31325F51" w14:textId="77777777" w:rsidR="0011503A" w:rsidRDefault="0011503A" w:rsidP="0011503A">
            <w:pPr>
              <w:rPr>
                <w:color w:val="000000"/>
              </w:rPr>
            </w:pPr>
            <w:r>
              <w:rPr>
                <w:color w:val="000000"/>
              </w:rPr>
              <w:t>Premiums</w:t>
            </w:r>
          </w:p>
        </w:tc>
        <w:tc>
          <w:tcPr>
            <w:tcW w:w="1284" w:type="dxa"/>
            <w:shd w:val="clear" w:color="auto" w:fill="auto"/>
            <w:vAlign w:val="center"/>
          </w:tcPr>
          <w:p w14:paraId="747F7F83" w14:textId="77777777" w:rsidR="0011503A" w:rsidRDefault="0011503A" w:rsidP="0011503A">
            <w:pPr>
              <w:jc w:val="right"/>
              <w:rPr>
                <w:color w:val="000000"/>
              </w:rPr>
            </w:pPr>
            <w:r>
              <w:rPr>
                <w:color w:val="000000"/>
              </w:rPr>
              <w:t>45.000</w:t>
            </w:r>
          </w:p>
        </w:tc>
        <w:tc>
          <w:tcPr>
            <w:tcW w:w="1418" w:type="dxa"/>
            <w:shd w:val="clear" w:color="auto" w:fill="auto"/>
            <w:vAlign w:val="center"/>
          </w:tcPr>
          <w:p w14:paraId="5A4BC3AB" w14:textId="77777777" w:rsidR="0011503A" w:rsidRDefault="0011503A" w:rsidP="0011503A">
            <w:pPr>
              <w:jc w:val="right"/>
              <w:rPr>
                <w:color w:val="000000"/>
              </w:rPr>
            </w:pPr>
            <w:r>
              <w:rPr>
                <w:color w:val="000000"/>
              </w:rPr>
              <w:t>42.000</w:t>
            </w:r>
          </w:p>
        </w:tc>
        <w:tc>
          <w:tcPr>
            <w:tcW w:w="1418" w:type="dxa"/>
            <w:shd w:val="clear" w:color="auto" w:fill="auto"/>
            <w:vAlign w:val="center"/>
          </w:tcPr>
          <w:p w14:paraId="279E535C" w14:textId="77777777" w:rsidR="0011503A" w:rsidRDefault="0011503A" w:rsidP="0011503A">
            <w:pPr>
              <w:jc w:val="right"/>
              <w:rPr>
                <w:color w:val="000000"/>
              </w:rPr>
            </w:pPr>
            <w:r>
              <w:rPr>
                <w:color w:val="000000"/>
              </w:rPr>
              <w:t>39.000</w:t>
            </w:r>
          </w:p>
        </w:tc>
        <w:tc>
          <w:tcPr>
            <w:tcW w:w="1405" w:type="dxa"/>
            <w:shd w:val="clear" w:color="auto" w:fill="auto"/>
            <w:vAlign w:val="center"/>
          </w:tcPr>
          <w:p w14:paraId="7FF0BAE6" w14:textId="77777777" w:rsidR="0011503A" w:rsidRDefault="0011503A" w:rsidP="0011503A">
            <w:pPr>
              <w:jc w:val="right"/>
              <w:rPr>
                <w:color w:val="000000"/>
              </w:rPr>
            </w:pPr>
            <w:r>
              <w:rPr>
                <w:color w:val="000000"/>
              </w:rPr>
              <w:t>36.000</w:t>
            </w:r>
          </w:p>
        </w:tc>
      </w:tr>
      <w:tr w:rsidR="0011503A" w:rsidRPr="00251E91" w14:paraId="30743B93" w14:textId="77777777" w:rsidTr="00AF4E4F">
        <w:tc>
          <w:tcPr>
            <w:tcW w:w="2204" w:type="dxa"/>
            <w:shd w:val="clear" w:color="auto" w:fill="auto"/>
            <w:vAlign w:val="center"/>
          </w:tcPr>
          <w:p w14:paraId="77D106F7" w14:textId="77777777" w:rsidR="0011503A" w:rsidRDefault="0011503A" w:rsidP="0011503A">
            <w:pPr>
              <w:rPr>
                <w:color w:val="000000"/>
              </w:rPr>
            </w:pPr>
            <w:r>
              <w:rPr>
                <w:color w:val="000000"/>
              </w:rPr>
              <w:t>Shared Investment Scheme</w:t>
            </w:r>
          </w:p>
        </w:tc>
        <w:tc>
          <w:tcPr>
            <w:tcW w:w="1284" w:type="dxa"/>
            <w:shd w:val="clear" w:color="auto" w:fill="auto"/>
            <w:vAlign w:val="center"/>
          </w:tcPr>
          <w:p w14:paraId="29052D37" w14:textId="77777777" w:rsidR="0011503A" w:rsidRDefault="0011503A" w:rsidP="0011503A">
            <w:pPr>
              <w:jc w:val="right"/>
              <w:rPr>
                <w:color w:val="000000"/>
              </w:rPr>
            </w:pPr>
            <w:r>
              <w:rPr>
                <w:color w:val="000000"/>
              </w:rPr>
              <w:t>85.000</w:t>
            </w:r>
          </w:p>
        </w:tc>
        <w:tc>
          <w:tcPr>
            <w:tcW w:w="1418" w:type="dxa"/>
            <w:shd w:val="clear" w:color="auto" w:fill="auto"/>
            <w:vAlign w:val="center"/>
          </w:tcPr>
          <w:p w14:paraId="46A457A5" w14:textId="77777777" w:rsidR="0011503A" w:rsidRDefault="0011503A" w:rsidP="0011503A">
            <w:pPr>
              <w:jc w:val="right"/>
              <w:rPr>
                <w:color w:val="000000"/>
              </w:rPr>
            </w:pPr>
            <w:r>
              <w:rPr>
                <w:color w:val="000000"/>
              </w:rPr>
              <w:t>85.000</w:t>
            </w:r>
          </w:p>
        </w:tc>
        <w:tc>
          <w:tcPr>
            <w:tcW w:w="1418" w:type="dxa"/>
            <w:shd w:val="clear" w:color="auto" w:fill="auto"/>
            <w:vAlign w:val="center"/>
          </w:tcPr>
          <w:p w14:paraId="29C3256B" w14:textId="77777777" w:rsidR="0011503A" w:rsidRDefault="0011503A" w:rsidP="0011503A">
            <w:pPr>
              <w:jc w:val="right"/>
              <w:rPr>
                <w:color w:val="000000"/>
              </w:rPr>
            </w:pPr>
            <w:r>
              <w:rPr>
                <w:color w:val="000000"/>
              </w:rPr>
              <w:t>85.000</w:t>
            </w:r>
          </w:p>
        </w:tc>
        <w:tc>
          <w:tcPr>
            <w:tcW w:w="1405" w:type="dxa"/>
            <w:shd w:val="clear" w:color="auto" w:fill="auto"/>
            <w:vAlign w:val="center"/>
          </w:tcPr>
          <w:p w14:paraId="3E7F307F" w14:textId="77777777" w:rsidR="0011503A" w:rsidRDefault="0011503A" w:rsidP="0011503A">
            <w:pPr>
              <w:jc w:val="right"/>
              <w:rPr>
                <w:color w:val="000000"/>
              </w:rPr>
            </w:pPr>
            <w:r>
              <w:rPr>
                <w:color w:val="000000"/>
              </w:rPr>
              <w:t>85.000</w:t>
            </w:r>
          </w:p>
        </w:tc>
      </w:tr>
      <w:tr w:rsidR="0011503A" w:rsidRPr="00251E91" w14:paraId="7FC19811" w14:textId="77777777" w:rsidTr="00AF4E4F">
        <w:tc>
          <w:tcPr>
            <w:tcW w:w="2204" w:type="dxa"/>
            <w:shd w:val="clear" w:color="auto" w:fill="auto"/>
            <w:vAlign w:val="center"/>
          </w:tcPr>
          <w:p w14:paraId="761E3C28" w14:textId="77777777" w:rsidR="0011503A" w:rsidRDefault="0011503A" w:rsidP="0011503A">
            <w:pPr>
              <w:rPr>
                <w:color w:val="000000"/>
              </w:rPr>
            </w:pPr>
            <w:r>
              <w:rPr>
                <w:color w:val="000000"/>
              </w:rPr>
              <w:t>Transferred Debt</w:t>
            </w:r>
          </w:p>
        </w:tc>
        <w:tc>
          <w:tcPr>
            <w:tcW w:w="1284" w:type="dxa"/>
            <w:shd w:val="clear" w:color="auto" w:fill="auto"/>
            <w:vAlign w:val="center"/>
          </w:tcPr>
          <w:p w14:paraId="00F6CEDC" w14:textId="77777777" w:rsidR="0011503A" w:rsidRDefault="0011503A" w:rsidP="0011503A">
            <w:pPr>
              <w:jc w:val="right"/>
              <w:rPr>
                <w:color w:val="000000"/>
              </w:rPr>
            </w:pPr>
            <w:r>
              <w:rPr>
                <w:color w:val="000000"/>
              </w:rPr>
              <w:t>35.650</w:t>
            </w:r>
          </w:p>
        </w:tc>
        <w:tc>
          <w:tcPr>
            <w:tcW w:w="1418" w:type="dxa"/>
            <w:shd w:val="clear" w:color="auto" w:fill="auto"/>
            <w:vAlign w:val="center"/>
          </w:tcPr>
          <w:p w14:paraId="176A7902" w14:textId="77777777" w:rsidR="0011503A" w:rsidRDefault="0011503A" w:rsidP="0011503A">
            <w:pPr>
              <w:jc w:val="right"/>
              <w:rPr>
                <w:color w:val="000000"/>
              </w:rPr>
            </w:pPr>
            <w:r>
              <w:rPr>
                <w:color w:val="000000"/>
              </w:rPr>
              <w:t>34.008</w:t>
            </w:r>
          </w:p>
        </w:tc>
        <w:tc>
          <w:tcPr>
            <w:tcW w:w="1418" w:type="dxa"/>
            <w:shd w:val="clear" w:color="auto" w:fill="auto"/>
            <w:vAlign w:val="center"/>
          </w:tcPr>
          <w:p w14:paraId="6AB10636" w14:textId="77777777" w:rsidR="0011503A" w:rsidRDefault="0011503A" w:rsidP="0011503A">
            <w:pPr>
              <w:jc w:val="right"/>
              <w:rPr>
                <w:color w:val="000000"/>
              </w:rPr>
            </w:pPr>
            <w:r>
              <w:rPr>
                <w:color w:val="000000"/>
              </w:rPr>
              <w:t>32.421</w:t>
            </w:r>
          </w:p>
        </w:tc>
        <w:tc>
          <w:tcPr>
            <w:tcW w:w="1405" w:type="dxa"/>
            <w:shd w:val="clear" w:color="auto" w:fill="auto"/>
            <w:vAlign w:val="center"/>
          </w:tcPr>
          <w:p w14:paraId="24482BB6" w14:textId="77777777" w:rsidR="0011503A" w:rsidRDefault="0011503A" w:rsidP="0011503A">
            <w:pPr>
              <w:jc w:val="right"/>
              <w:rPr>
                <w:color w:val="000000"/>
              </w:rPr>
            </w:pPr>
            <w:r>
              <w:rPr>
                <w:color w:val="000000"/>
              </w:rPr>
              <w:t>30.889</w:t>
            </w:r>
          </w:p>
        </w:tc>
      </w:tr>
      <w:tr w:rsidR="0011503A" w:rsidRPr="00251E91" w14:paraId="01BE0562" w14:textId="77777777" w:rsidTr="00AF4E4F">
        <w:tc>
          <w:tcPr>
            <w:tcW w:w="2204" w:type="dxa"/>
            <w:shd w:val="clear" w:color="auto" w:fill="auto"/>
            <w:vAlign w:val="center"/>
          </w:tcPr>
          <w:p w14:paraId="40F3B1CC" w14:textId="77777777" w:rsidR="0011503A" w:rsidRDefault="0011503A" w:rsidP="0011503A">
            <w:pPr>
              <w:rPr>
                <w:b/>
                <w:bCs/>
                <w:color w:val="000000"/>
              </w:rPr>
            </w:pPr>
            <w:r>
              <w:rPr>
                <w:b/>
                <w:bCs/>
                <w:color w:val="000000"/>
              </w:rPr>
              <w:t>Total</w:t>
            </w:r>
          </w:p>
        </w:tc>
        <w:tc>
          <w:tcPr>
            <w:tcW w:w="1284" w:type="dxa"/>
            <w:shd w:val="clear" w:color="auto" w:fill="auto"/>
            <w:vAlign w:val="center"/>
          </w:tcPr>
          <w:p w14:paraId="5FF8AF0E" w14:textId="77777777" w:rsidR="0011503A" w:rsidRDefault="0011503A" w:rsidP="0011503A">
            <w:pPr>
              <w:jc w:val="right"/>
              <w:rPr>
                <w:color w:val="000000"/>
              </w:rPr>
            </w:pPr>
            <w:r>
              <w:rPr>
                <w:color w:val="000000"/>
              </w:rPr>
              <w:t>165.650</w:t>
            </w:r>
          </w:p>
        </w:tc>
        <w:tc>
          <w:tcPr>
            <w:tcW w:w="1418" w:type="dxa"/>
            <w:shd w:val="clear" w:color="auto" w:fill="auto"/>
            <w:vAlign w:val="center"/>
          </w:tcPr>
          <w:p w14:paraId="6260A505" w14:textId="77777777" w:rsidR="0011503A" w:rsidRDefault="0011503A" w:rsidP="0011503A">
            <w:pPr>
              <w:jc w:val="right"/>
              <w:rPr>
                <w:color w:val="000000"/>
              </w:rPr>
            </w:pPr>
            <w:r>
              <w:rPr>
                <w:color w:val="000000"/>
              </w:rPr>
              <w:t>161.008</w:t>
            </w:r>
          </w:p>
        </w:tc>
        <w:tc>
          <w:tcPr>
            <w:tcW w:w="1418" w:type="dxa"/>
            <w:shd w:val="clear" w:color="auto" w:fill="auto"/>
            <w:vAlign w:val="center"/>
          </w:tcPr>
          <w:p w14:paraId="30A7911A" w14:textId="77777777" w:rsidR="0011503A" w:rsidRDefault="0011503A" w:rsidP="0011503A">
            <w:pPr>
              <w:jc w:val="right"/>
              <w:rPr>
                <w:color w:val="000000"/>
              </w:rPr>
            </w:pPr>
            <w:r>
              <w:rPr>
                <w:color w:val="000000"/>
              </w:rPr>
              <w:t>156.421</w:t>
            </w:r>
          </w:p>
        </w:tc>
        <w:tc>
          <w:tcPr>
            <w:tcW w:w="1405" w:type="dxa"/>
            <w:shd w:val="clear" w:color="auto" w:fill="auto"/>
            <w:vAlign w:val="center"/>
          </w:tcPr>
          <w:p w14:paraId="27765595" w14:textId="77777777" w:rsidR="0011503A" w:rsidRDefault="0011503A" w:rsidP="0011503A">
            <w:pPr>
              <w:jc w:val="right"/>
              <w:rPr>
                <w:color w:val="000000"/>
              </w:rPr>
            </w:pPr>
            <w:r>
              <w:rPr>
                <w:color w:val="000000"/>
              </w:rPr>
              <w:t>151.889</w:t>
            </w:r>
          </w:p>
        </w:tc>
      </w:tr>
    </w:tbl>
    <w:p w14:paraId="71E12251" w14:textId="77777777" w:rsidR="00A2720C" w:rsidRPr="00C660FA" w:rsidRDefault="00A2720C" w:rsidP="00A2720C"/>
    <w:p w14:paraId="64EE7397" w14:textId="77777777" w:rsidR="00650616" w:rsidRPr="001143BB" w:rsidRDefault="00650616" w:rsidP="00D635B5">
      <w:pPr>
        <w:jc w:val="both"/>
        <w:rPr>
          <w:highlight w:val="yellow"/>
        </w:rPr>
      </w:pPr>
      <w:r w:rsidRPr="00C660FA">
        <w:t xml:space="preserve">The ratio of gross debt to capital financing requirement shows that gross debt is higher than the capital financing requirement. This is because the shared investment scheme </w:t>
      </w:r>
      <w:r w:rsidR="00277CAC">
        <w:t>and the replacement overdraft facility are</w:t>
      </w:r>
      <w:r w:rsidRPr="00C660FA">
        <w:t xml:space="preserve"> currently accounted for as borrowing but not counted against the capital financing requirement.</w:t>
      </w:r>
    </w:p>
    <w:p w14:paraId="6DF9893A" w14:textId="77777777" w:rsidR="00186F66" w:rsidRDefault="00186F66" w:rsidP="0035055B">
      <w:pPr>
        <w:rPr>
          <w:highlight w:val="yellow"/>
        </w:rPr>
      </w:pPr>
    </w:p>
    <w:p w14:paraId="3D2D7902" w14:textId="673EC431" w:rsidR="009214FB" w:rsidRPr="009214FB" w:rsidRDefault="009214FB" w:rsidP="0035055B">
      <w:pPr>
        <w:rPr>
          <w:b/>
        </w:rPr>
      </w:pPr>
      <w:r w:rsidRPr="009214FB">
        <w:rPr>
          <w:b/>
        </w:rPr>
        <w:t>Treasury Management Indicators</w:t>
      </w:r>
      <w:r>
        <w:rPr>
          <w:b/>
        </w:rPr>
        <w:br/>
      </w:r>
    </w:p>
    <w:p w14:paraId="148818F2" w14:textId="77777777" w:rsidR="009F74AC" w:rsidRDefault="009F74AC" w:rsidP="009F74AC">
      <w:pPr>
        <w:pStyle w:val="ListParagraph"/>
        <w:spacing w:after="200" w:line="276" w:lineRule="auto"/>
        <w:ind w:left="0"/>
        <w:rPr>
          <w:b/>
          <w:color w:val="000000"/>
        </w:rPr>
      </w:pPr>
      <w:r w:rsidRPr="009214FB">
        <w:rPr>
          <w:b/>
          <w:color w:val="000000"/>
        </w:rPr>
        <w:t>Interest rate exposure</w:t>
      </w:r>
    </w:p>
    <w:tbl>
      <w:tblPr>
        <w:tblStyle w:val="TableGrid"/>
        <w:tblW w:w="0" w:type="auto"/>
        <w:tblLook w:val="04A0" w:firstRow="1" w:lastRow="0" w:firstColumn="1" w:lastColumn="0" w:noHBand="0" w:noVBand="1"/>
      </w:tblPr>
      <w:tblGrid>
        <w:gridCol w:w="5211"/>
        <w:gridCol w:w="1807"/>
        <w:gridCol w:w="1998"/>
      </w:tblGrid>
      <w:tr w:rsidR="00217C4B" w14:paraId="112CB52A" w14:textId="77777777" w:rsidTr="00AF4E4F">
        <w:tc>
          <w:tcPr>
            <w:tcW w:w="5353" w:type="dxa"/>
          </w:tcPr>
          <w:p w14:paraId="4431BFE0" w14:textId="77777777" w:rsidR="00217C4B" w:rsidRDefault="009E48A6">
            <w:r w:rsidRPr="009E48A6">
              <w:rPr>
                <w:color w:val="000000"/>
              </w:rPr>
              <w:t xml:space="preserve">In order to control interest rate risk the </w:t>
            </w:r>
            <w:r w:rsidR="009A19CB">
              <w:rPr>
                <w:color w:val="000000"/>
              </w:rPr>
              <w:t>County Council</w:t>
            </w:r>
            <w:r w:rsidR="009A19CB" w:rsidRPr="009E48A6">
              <w:rPr>
                <w:color w:val="000000"/>
              </w:rPr>
              <w:t xml:space="preserve"> </w:t>
            </w:r>
            <w:r w:rsidRPr="009E48A6">
              <w:rPr>
                <w:color w:val="000000"/>
              </w:rPr>
              <w:t xml:space="preserve">measures its exposure to interest rate movements. These indicators place limits on the overall amount of risk the </w:t>
            </w:r>
            <w:r w:rsidR="00043461">
              <w:rPr>
                <w:color w:val="000000"/>
              </w:rPr>
              <w:t>c</w:t>
            </w:r>
            <w:r w:rsidR="00F25AD0">
              <w:rPr>
                <w:color w:val="000000"/>
              </w:rPr>
              <w:t>ounty council</w:t>
            </w:r>
            <w:r w:rsidRPr="009E48A6">
              <w:rPr>
                <w:color w:val="000000"/>
              </w:rPr>
              <w:t xml:space="preserve"> is exposed to. </w:t>
            </w:r>
            <w:r w:rsidR="007F6754">
              <w:t>The one year impact indicator calculates</w:t>
            </w:r>
            <w:r w:rsidR="007F6754" w:rsidRPr="00C63B7D">
              <w:t xml:space="preserve"> the theoretical impact on the revenue account of an</w:t>
            </w:r>
            <w:r w:rsidR="007F6754">
              <w:t xml:space="preserve"> </w:t>
            </w:r>
            <w:r w:rsidR="007F6754" w:rsidRPr="00C63B7D">
              <w:t xml:space="preserve">immediate 1% rise in all interest rates over the course of one financial year. </w:t>
            </w:r>
          </w:p>
        </w:tc>
        <w:tc>
          <w:tcPr>
            <w:tcW w:w="1843" w:type="dxa"/>
            <w:vAlign w:val="center"/>
          </w:tcPr>
          <w:p w14:paraId="439AC48C" w14:textId="77777777" w:rsidR="00217C4B" w:rsidRDefault="00217C4B" w:rsidP="00217C4B">
            <w:pPr>
              <w:jc w:val="center"/>
            </w:pPr>
            <w:r>
              <w:t>Upper Limit</w:t>
            </w:r>
          </w:p>
        </w:tc>
        <w:tc>
          <w:tcPr>
            <w:tcW w:w="2046" w:type="dxa"/>
            <w:vAlign w:val="center"/>
          </w:tcPr>
          <w:p w14:paraId="23731656" w14:textId="2642BA1E" w:rsidR="00217C4B" w:rsidRDefault="00D759C9" w:rsidP="00AF4E4F">
            <w:pPr>
              <w:jc w:val="center"/>
            </w:pPr>
            <w:r>
              <w:t xml:space="preserve">Dec </w:t>
            </w:r>
            <w:r w:rsidR="00AF4E4F">
              <w:t>2016</w:t>
            </w:r>
          </w:p>
        </w:tc>
      </w:tr>
      <w:tr w:rsidR="00217C4B" w14:paraId="7EA1C76E" w14:textId="77777777" w:rsidTr="00AF4E4F">
        <w:tc>
          <w:tcPr>
            <w:tcW w:w="5353" w:type="dxa"/>
          </w:tcPr>
          <w:p w14:paraId="7B2ED084" w14:textId="77777777" w:rsidR="00217C4B" w:rsidRDefault="00217C4B" w:rsidP="009F74AC"/>
        </w:tc>
        <w:tc>
          <w:tcPr>
            <w:tcW w:w="1843" w:type="dxa"/>
            <w:vAlign w:val="center"/>
          </w:tcPr>
          <w:p w14:paraId="4E024400" w14:textId="77777777" w:rsidR="00217C4B" w:rsidRDefault="00217C4B" w:rsidP="00217C4B">
            <w:pPr>
              <w:jc w:val="center"/>
            </w:pPr>
            <w:r>
              <w:t>£m</w:t>
            </w:r>
          </w:p>
        </w:tc>
        <w:tc>
          <w:tcPr>
            <w:tcW w:w="2046" w:type="dxa"/>
            <w:vAlign w:val="center"/>
          </w:tcPr>
          <w:p w14:paraId="47F78B24" w14:textId="77777777" w:rsidR="00217C4B" w:rsidRDefault="00217C4B" w:rsidP="00217C4B">
            <w:pPr>
              <w:jc w:val="center"/>
            </w:pPr>
            <w:r>
              <w:t>£m</w:t>
            </w:r>
          </w:p>
        </w:tc>
      </w:tr>
      <w:tr w:rsidR="00217C4B" w14:paraId="08BB2A4F" w14:textId="77777777" w:rsidTr="00AF4E4F">
        <w:tc>
          <w:tcPr>
            <w:tcW w:w="5353" w:type="dxa"/>
          </w:tcPr>
          <w:p w14:paraId="1F6CC19F" w14:textId="77777777" w:rsidR="00217C4B" w:rsidRDefault="00217C4B" w:rsidP="009F74AC"/>
        </w:tc>
        <w:tc>
          <w:tcPr>
            <w:tcW w:w="1843" w:type="dxa"/>
            <w:vAlign w:val="center"/>
          </w:tcPr>
          <w:p w14:paraId="2A4CB194" w14:textId="77777777" w:rsidR="00217C4B" w:rsidRDefault="00217C4B" w:rsidP="00217C4B">
            <w:pPr>
              <w:jc w:val="center"/>
            </w:pPr>
          </w:p>
        </w:tc>
        <w:tc>
          <w:tcPr>
            <w:tcW w:w="2046" w:type="dxa"/>
            <w:vAlign w:val="center"/>
          </w:tcPr>
          <w:p w14:paraId="5B4532D0" w14:textId="77777777" w:rsidR="00217C4B" w:rsidRDefault="00217C4B" w:rsidP="00217C4B">
            <w:pPr>
              <w:jc w:val="center"/>
            </w:pPr>
          </w:p>
        </w:tc>
      </w:tr>
      <w:tr w:rsidR="00217C4B" w14:paraId="16DF3DB3" w14:textId="77777777" w:rsidTr="00AF4E4F">
        <w:tc>
          <w:tcPr>
            <w:tcW w:w="5353" w:type="dxa"/>
          </w:tcPr>
          <w:p w14:paraId="0F52DCE3" w14:textId="77777777" w:rsidR="00217C4B" w:rsidRDefault="00217C4B" w:rsidP="009F74AC">
            <w:r>
              <w:t>Net Interest Payable at Fixed Rates</w:t>
            </w:r>
          </w:p>
        </w:tc>
        <w:tc>
          <w:tcPr>
            <w:tcW w:w="1843" w:type="dxa"/>
            <w:vAlign w:val="center"/>
          </w:tcPr>
          <w:p w14:paraId="78F0AF2D" w14:textId="77777777" w:rsidR="00217C4B" w:rsidRPr="00974DEC" w:rsidRDefault="0011503A">
            <w:pPr>
              <w:jc w:val="center"/>
            </w:pPr>
            <w:r w:rsidRPr="00974DEC">
              <w:t>50.4</w:t>
            </w:r>
          </w:p>
        </w:tc>
        <w:tc>
          <w:tcPr>
            <w:tcW w:w="2046" w:type="dxa"/>
            <w:vAlign w:val="center"/>
          </w:tcPr>
          <w:p w14:paraId="447D52D3" w14:textId="77777777" w:rsidR="00217C4B" w:rsidRPr="00974DEC" w:rsidRDefault="0011503A" w:rsidP="00217C4B">
            <w:pPr>
              <w:jc w:val="center"/>
            </w:pPr>
            <w:r w:rsidRPr="00974DEC">
              <w:t>9.7</w:t>
            </w:r>
          </w:p>
        </w:tc>
      </w:tr>
      <w:tr w:rsidR="00217C4B" w14:paraId="56E471F3" w14:textId="77777777" w:rsidTr="00AF4E4F">
        <w:tc>
          <w:tcPr>
            <w:tcW w:w="5353" w:type="dxa"/>
          </w:tcPr>
          <w:p w14:paraId="0D4EB5BA" w14:textId="77777777" w:rsidR="00217C4B" w:rsidRDefault="00217C4B" w:rsidP="009F74AC">
            <w:r>
              <w:t>Net Interest Payable at Variable Rates</w:t>
            </w:r>
          </w:p>
        </w:tc>
        <w:tc>
          <w:tcPr>
            <w:tcW w:w="1843" w:type="dxa"/>
            <w:vAlign w:val="center"/>
          </w:tcPr>
          <w:p w14:paraId="1F9E4ECE" w14:textId="035D8536" w:rsidR="00217C4B" w:rsidRPr="00974DEC" w:rsidRDefault="0011503A" w:rsidP="00217C4B">
            <w:pPr>
              <w:jc w:val="center"/>
            </w:pPr>
            <w:r w:rsidRPr="00974DEC">
              <w:t>5</w:t>
            </w:r>
            <w:r w:rsidR="00AF4E4F">
              <w:t>.0</w:t>
            </w:r>
          </w:p>
        </w:tc>
        <w:tc>
          <w:tcPr>
            <w:tcW w:w="2046" w:type="dxa"/>
            <w:vAlign w:val="center"/>
          </w:tcPr>
          <w:p w14:paraId="1741EB16" w14:textId="77777777" w:rsidR="00217C4B" w:rsidRPr="00974DEC" w:rsidRDefault="0011503A" w:rsidP="00217C4B">
            <w:pPr>
              <w:jc w:val="center"/>
            </w:pPr>
            <w:r w:rsidRPr="00974DEC">
              <w:t>3.2</w:t>
            </w:r>
          </w:p>
        </w:tc>
      </w:tr>
      <w:tr w:rsidR="00217C4B" w14:paraId="7922729A" w14:textId="77777777" w:rsidTr="00AF4E4F">
        <w:tc>
          <w:tcPr>
            <w:tcW w:w="5353" w:type="dxa"/>
          </w:tcPr>
          <w:p w14:paraId="14F451A5" w14:textId="77777777" w:rsidR="00217C4B" w:rsidRDefault="00217C4B" w:rsidP="009F74AC">
            <w:r>
              <w:t>One year impact of a 1% rise in rates</w:t>
            </w:r>
          </w:p>
        </w:tc>
        <w:tc>
          <w:tcPr>
            <w:tcW w:w="1843" w:type="dxa"/>
            <w:vAlign w:val="center"/>
          </w:tcPr>
          <w:p w14:paraId="7BECDCA9" w14:textId="35CC2CE1" w:rsidR="00217C4B" w:rsidRPr="00974DEC" w:rsidRDefault="0011503A" w:rsidP="00F861B8">
            <w:r w:rsidRPr="00974DEC">
              <w:t xml:space="preserve">        10</w:t>
            </w:r>
            <w:r w:rsidR="00AF4E4F">
              <w:t>.0</w:t>
            </w:r>
          </w:p>
        </w:tc>
        <w:tc>
          <w:tcPr>
            <w:tcW w:w="2046" w:type="dxa"/>
            <w:vAlign w:val="center"/>
          </w:tcPr>
          <w:p w14:paraId="48DA48AA" w14:textId="77777777" w:rsidR="00217C4B" w:rsidRPr="00974DEC" w:rsidRDefault="0011503A" w:rsidP="00217C4B">
            <w:pPr>
              <w:jc w:val="center"/>
            </w:pPr>
            <w:r w:rsidRPr="00974DEC">
              <w:t>1.6</w:t>
            </w:r>
          </w:p>
        </w:tc>
      </w:tr>
    </w:tbl>
    <w:p w14:paraId="39937DC6" w14:textId="77777777" w:rsidR="009F74AC" w:rsidRPr="009214FB" w:rsidRDefault="009F74AC" w:rsidP="009F74AC"/>
    <w:tbl>
      <w:tblPr>
        <w:tblW w:w="12222" w:type="dxa"/>
        <w:tblInd w:w="108" w:type="dxa"/>
        <w:tblLayout w:type="fixed"/>
        <w:tblLook w:val="0000" w:firstRow="0" w:lastRow="0" w:firstColumn="0" w:lastColumn="0" w:noHBand="0" w:noVBand="0"/>
      </w:tblPr>
      <w:tblGrid>
        <w:gridCol w:w="9214"/>
        <w:gridCol w:w="1764"/>
        <w:gridCol w:w="1244"/>
      </w:tblGrid>
      <w:tr w:rsidR="009F74AC" w:rsidRPr="009214FB" w14:paraId="1CDBFF00" w14:textId="77777777" w:rsidTr="009F74AC">
        <w:tc>
          <w:tcPr>
            <w:tcW w:w="9214" w:type="dxa"/>
          </w:tcPr>
          <w:p w14:paraId="6A4CEA45" w14:textId="77777777" w:rsidR="009E48A6" w:rsidRDefault="009F74AC" w:rsidP="009E48A6">
            <w:pPr>
              <w:pStyle w:val="ListParagraph"/>
              <w:tabs>
                <w:tab w:val="left" w:pos="3285"/>
              </w:tabs>
              <w:spacing w:after="120" w:line="276" w:lineRule="auto"/>
              <w:ind w:left="-108"/>
              <w:rPr>
                <w:b/>
              </w:rPr>
            </w:pPr>
            <w:r w:rsidRPr="009214FB">
              <w:rPr>
                <w:b/>
              </w:rPr>
              <w:t>Maturity structure of debt</w:t>
            </w:r>
          </w:p>
          <w:p w14:paraId="23C45500" w14:textId="77777777" w:rsidR="009E48A6" w:rsidRDefault="009E48A6" w:rsidP="009E48A6">
            <w:pPr>
              <w:pStyle w:val="ListParagraph"/>
              <w:tabs>
                <w:tab w:val="left" w:pos="3285"/>
              </w:tabs>
              <w:spacing w:after="120" w:line="276" w:lineRule="auto"/>
              <w:ind w:left="-108"/>
              <w:rPr>
                <w:b/>
              </w:rPr>
            </w:pPr>
          </w:p>
          <w:p w14:paraId="3DFDA51C" w14:textId="77777777" w:rsidR="009F74AC" w:rsidRPr="009E48A6" w:rsidRDefault="009E48A6" w:rsidP="009E48A6">
            <w:pPr>
              <w:pStyle w:val="ListParagraph"/>
              <w:tabs>
                <w:tab w:val="left" w:pos="3285"/>
              </w:tabs>
              <w:spacing w:after="120" w:line="276" w:lineRule="auto"/>
              <w:ind w:left="-108"/>
            </w:pPr>
            <w:r w:rsidRPr="009E48A6">
              <w:t xml:space="preserve">Limits on the maturity structure of </w:t>
            </w:r>
            <w:r w:rsidR="008E12BE">
              <w:t xml:space="preserve">fixed </w:t>
            </w:r>
            <w:r w:rsidRPr="009E48A6">
              <w:t>debt help control refinancing risk</w:t>
            </w:r>
            <w:r w:rsidRPr="009E48A6">
              <w:tab/>
            </w:r>
          </w:p>
        </w:tc>
        <w:tc>
          <w:tcPr>
            <w:tcW w:w="1764" w:type="dxa"/>
          </w:tcPr>
          <w:p w14:paraId="46B40148" w14:textId="77777777" w:rsidR="009F74AC" w:rsidRPr="009214FB" w:rsidRDefault="009F74AC" w:rsidP="009F74AC">
            <w:pPr>
              <w:tabs>
                <w:tab w:val="decimal" w:pos="882"/>
              </w:tabs>
              <w:spacing w:after="240"/>
              <w:rPr>
                <w:caps/>
              </w:rPr>
            </w:pPr>
          </w:p>
        </w:tc>
        <w:tc>
          <w:tcPr>
            <w:tcW w:w="1244" w:type="dxa"/>
          </w:tcPr>
          <w:p w14:paraId="02A20665" w14:textId="77777777" w:rsidR="009F74AC" w:rsidRPr="009214FB" w:rsidRDefault="009F74AC" w:rsidP="009F74AC">
            <w:pPr>
              <w:tabs>
                <w:tab w:val="decimal" w:pos="882"/>
              </w:tabs>
              <w:spacing w:after="240"/>
              <w:rPr>
                <w:caps/>
              </w:rPr>
            </w:pPr>
          </w:p>
        </w:tc>
      </w:tr>
      <w:tr w:rsidR="009F74AC" w:rsidRPr="009214FB" w14:paraId="7F202630" w14:textId="77777777" w:rsidTr="009F74AC">
        <w:trPr>
          <w:cantSplit/>
        </w:trPr>
        <w:tc>
          <w:tcPr>
            <w:tcW w:w="12222" w:type="dxa"/>
            <w:gridSpan w:val="3"/>
          </w:tcPr>
          <w:tbl>
            <w:tblPr>
              <w:tblStyle w:val="TableGrid"/>
              <w:tblpPr w:leftFromText="180" w:rightFromText="180" w:vertAnchor="page" w:horzAnchor="page" w:tblpX="375" w:tblpY="1"/>
              <w:tblW w:w="0" w:type="auto"/>
              <w:tblLayout w:type="fixed"/>
              <w:tblLook w:val="04A0" w:firstRow="1" w:lastRow="0" w:firstColumn="1" w:lastColumn="0" w:noHBand="0" w:noVBand="1"/>
            </w:tblPr>
            <w:tblGrid>
              <w:gridCol w:w="3261"/>
              <w:gridCol w:w="1559"/>
              <w:gridCol w:w="1701"/>
            </w:tblGrid>
            <w:tr w:rsidR="00AF4E4F" w:rsidRPr="009214FB" w14:paraId="59498A84" w14:textId="77777777" w:rsidTr="00AF4E4F">
              <w:tc>
                <w:tcPr>
                  <w:tcW w:w="3261" w:type="dxa"/>
                </w:tcPr>
                <w:p w14:paraId="3ED26038" w14:textId="77777777" w:rsidR="00AF4E4F" w:rsidRPr="00974DEC" w:rsidRDefault="00AF4E4F" w:rsidP="009F74AC">
                  <w:pPr>
                    <w:tabs>
                      <w:tab w:val="left" w:pos="342"/>
                    </w:tabs>
                    <w:spacing w:after="120"/>
                  </w:pPr>
                </w:p>
              </w:tc>
              <w:tc>
                <w:tcPr>
                  <w:tcW w:w="1559" w:type="dxa"/>
                </w:tcPr>
                <w:p w14:paraId="5D0CC2BF" w14:textId="77777777" w:rsidR="00AF4E4F" w:rsidRPr="00974DEC" w:rsidRDefault="00AF4E4F" w:rsidP="009F74AC">
                  <w:pPr>
                    <w:tabs>
                      <w:tab w:val="left" w:pos="342"/>
                    </w:tabs>
                    <w:spacing w:after="120"/>
                    <w:jc w:val="center"/>
                  </w:pPr>
                  <w:r w:rsidRPr="00974DEC">
                    <w:t>Upper Limit %</w:t>
                  </w:r>
                </w:p>
              </w:tc>
              <w:tc>
                <w:tcPr>
                  <w:tcW w:w="1701" w:type="dxa"/>
                </w:tcPr>
                <w:p w14:paraId="4D97F2C7" w14:textId="77777777" w:rsidR="00AF4E4F" w:rsidRPr="00974DEC" w:rsidRDefault="00AF4E4F" w:rsidP="00E83AEB">
                  <w:pPr>
                    <w:tabs>
                      <w:tab w:val="left" w:pos="342"/>
                    </w:tabs>
                    <w:spacing w:after="120"/>
                    <w:jc w:val="center"/>
                  </w:pPr>
                  <w:r w:rsidRPr="00974DEC">
                    <w:t>Dec 2016</w:t>
                  </w:r>
                </w:p>
              </w:tc>
            </w:tr>
            <w:tr w:rsidR="00AF4E4F" w:rsidRPr="009214FB" w14:paraId="447B3BC4" w14:textId="77777777" w:rsidTr="00AF4E4F">
              <w:tc>
                <w:tcPr>
                  <w:tcW w:w="3261" w:type="dxa"/>
                </w:tcPr>
                <w:p w14:paraId="7553DC11" w14:textId="77777777" w:rsidR="00AF4E4F" w:rsidRPr="00974DEC" w:rsidRDefault="00AF4E4F" w:rsidP="009F74AC">
                  <w:pPr>
                    <w:tabs>
                      <w:tab w:val="left" w:pos="342"/>
                    </w:tabs>
                    <w:spacing w:after="120"/>
                  </w:pPr>
                  <w:r w:rsidRPr="00974DEC">
                    <w:t>Under 12 months</w:t>
                  </w:r>
                </w:p>
              </w:tc>
              <w:tc>
                <w:tcPr>
                  <w:tcW w:w="1559" w:type="dxa"/>
                </w:tcPr>
                <w:p w14:paraId="68B92AFC" w14:textId="77777777" w:rsidR="00AF4E4F" w:rsidRPr="00974DEC" w:rsidRDefault="00AF4E4F" w:rsidP="009F74AC">
                  <w:pPr>
                    <w:tabs>
                      <w:tab w:val="left" w:pos="342"/>
                    </w:tabs>
                    <w:spacing w:after="120"/>
                    <w:jc w:val="center"/>
                  </w:pPr>
                  <w:r w:rsidRPr="00974DEC">
                    <w:t>75%</w:t>
                  </w:r>
                </w:p>
              </w:tc>
              <w:tc>
                <w:tcPr>
                  <w:tcW w:w="1701" w:type="dxa"/>
                </w:tcPr>
                <w:p w14:paraId="22B2E801" w14:textId="77777777" w:rsidR="00AF4E4F" w:rsidRPr="00974DEC" w:rsidRDefault="00AF4E4F" w:rsidP="009F74AC">
                  <w:pPr>
                    <w:tabs>
                      <w:tab w:val="left" w:pos="342"/>
                    </w:tabs>
                    <w:spacing w:after="120"/>
                    <w:jc w:val="center"/>
                  </w:pPr>
                  <w:r w:rsidRPr="00974DEC">
                    <w:t>9%</w:t>
                  </w:r>
                </w:p>
              </w:tc>
            </w:tr>
            <w:tr w:rsidR="00AF4E4F" w:rsidRPr="009214FB" w14:paraId="218CA851" w14:textId="77777777" w:rsidTr="00AF4E4F">
              <w:tc>
                <w:tcPr>
                  <w:tcW w:w="3261" w:type="dxa"/>
                </w:tcPr>
                <w:p w14:paraId="46B09A08" w14:textId="77777777" w:rsidR="00AF4E4F" w:rsidRPr="00974DEC" w:rsidRDefault="00AF4E4F" w:rsidP="009E48A6">
                  <w:pPr>
                    <w:tabs>
                      <w:tab w:val="left" w:pos="342"/>
                    </w:tabs>
                    <w:spacing w:after="120"/>
                    <w:ind w:right="-390"/>
                  </w:pPr>
                  <w:r w:rsidRPr="00974DEC">
                    <w:t>12 months and within 2 years</w:t>
                  </w:r>
                </w:p>
              </w:tc>
              <w:tc>
                <w:tcPr>
                  <w:tcW w:w="1559" w:type="dxa"/>
                </w:tcPr>
                <w:p w14:paraId="4C5E42F5" w14:textId="77777777" w:rsidR="00AF4E4F" w:rsidRPr="00974DEC" w:rsidRDefault="00AF4E4F" w:rsidP="009E48A6">
                  <w:pPr>
                    <w:tabs>
                      <w:tab w:val="left" w:pos="342"/>
                    </w:tabs>
                    <w:spacing w:after="120"/>
                  </w:pPr>
                  <w:r w:rsidRPr="00974DEC">
                    <w:t xml:space="preserve">       75%</w:t>
                  </w:r>
                </w:p>
              </w:tc>
              <w:tc>
                <w:tcPr>
                  <w:tcW w:w="1701" w:type="dxa"/>
                </w:tcPr>
                <w:p w14:paraId="573B85E6" w14:textId="77777777" w:rsidR="00AF4E4F" w:rsidRPr="00974DEC" w:rsidRDefault="00AF4E4F">
                  <w:pPr>
                    <w:tabs>
                      <w:tab w:val="left" w:pos="342"/>
                    </w:tabs>
                    <w:spacing w:after="120"/>
                  </w:pPr>
                  <w:r w:rsidRPr="00974DEC">
                    <w:t xml:space="preserve">       37%</w:t>
                  </w:r>
                </w:p>
              </w:tc>
            </w:tr>
            <w:tr w:rsidR="00AF4E4F" w:rsidRPr="009214FB" w14:paraId="11051E45" w14:textId="77777777" w:rsidTr="00AF4E4F">
              <w:tc>
                <w:tcPr>
                  <w:tcW w:w="3261" w:type="dxa"/>
                </w:tcPr>
                <w:p w14:paraId="2C21E426" w14:textId="77777777" w:rsidR="00AF4E4F" w:rsidRPr="00974DEC" w:rsidRDefault="00AF4E4F" w:rsidP="009E48A6">
                  <w:pPr>
                    <w:tabs>
                      <w:tab w:val="left" w:pos="342"/>
                    </w:tabs>
                    <w:spacing w:after="120"/>
                  </w:pPr>
                  <w:r w:rsidRPr="00974DEC">
                    <w:t>2 years and within 5 years</w:t>
                  </w:r>
                </w:p>
              </w:tc>
              <w:tc>
                <w:tcPr>
                  <w:tcW w:w="1559" w:type="dxa"/>
                </w:tcPr>
                <w:p w14:paraId="76970F97" w14:textId="77777777" w:rsidR="00AF4E4F" w:rsidRPr="00974DEC" w:rsidRDefault="00AF4E4F" w:rsidP="009F74AC">
                  <w:pPr>
                    <w:tabs>
                      <w:tab w:val="left" w:pos="342"/>
                    </w:tabs>
                    <w:spacing w:after="120"/>
                    <w:jc w:val="center"/>
                  </w:pPr>
                  <w:r w:rsidRPr="00974DEC">
                    <w:t>75%</w:t>
                  </w:r>
                </w:p>
              </w:tc>
              <w:tc>
                <w:tcPr>
                  <w:tcW w:w="1701" w:type="dxa"/>
                </w:tcPr>
                <w:p w14:paraId="1C3DFC4F" w14:textId="77777777" w:rsidR="00AF4E4F" w:rsidRPr="00974DEC" w:rsidRDefault="00AF4E4F" w:rsidP="009F74AC">
                  <w:pPr>
                    <w:tabs>
                      <w:tab w:val="left" w:pos="342"/>
                    </w:tabs>
                    <w:spacing w:after="120"/>
                    <w:jc w:val="center"/>
                  </w:pPr>
                  <w:r w:rsidRPr="00974DEC">
                    <w:t>27%</w:t>
                  </w:r>
                </w:p>
              </w:tc>
            </w:tr>
            <w:tr w:rsidR="00AF4E4F" w:rsidRPr="009214FB" w14:paraId="6614C2A2" w14:textId="77777777" w:rsidTr="00AF4E4F">
              <w:tc>
                <w:tcPr>
                  <w:tcW w:w="3261" w:type="dxa"/>
                </w:tcPr>
                <w:p w14:paraId="0C67000E" w14:textId="77777777" w:rsidR="00AF4E4F" w:rsidRPr="00974DEC" w:rsidRDefault="00AF4E4F" w:rsidP="009F74AC">
                  <w:pPr>
                    <w:tabs>
                      <w:tab w:val="left" w:pos="342"/>
                    </w:tabs>
                    <w:spacing w:after="120"/>
                  </w:pPr>
                  <w:r w:rsidRPr="00974DEC">
                    <w:t>5 years and within 10 years</w:t>
                  </w:r>
                </w:p>
              </w:tc>
              <w:tc>
                <w:tcPr>
                  <w:tcW w:w="1559" w:type="dxa"/>
                </w:tcPr>
                <w:p w14:paraId="6BE2A860" w14:textId="77777777" w:rsidR="00AF4E4F" w:rsidRPr="00974DEC" w:rsidRDefault="00AF4E4F" w:rsidP="009F74AC">
                  <w:pPr>
                    <w:tabs>
                      <w:tab w:val="left" w:pos="342"/>
                    </w:tabs>
                    <w:spacing w:after="120"/>
                    <w:jc w:val="center"/>
                  </w:pPr>
                  <w:r w:rsidRPr="00974DEC">
                    <w:t>75%</w:t>
                  </w:r>
                </w:p>
              </w:tc>
              <w:tc>
                <w:tcPr>
                  <w:tcW w:w="1701" w:type="dxa"/>
                </w:tcPr>
                <w:p w14:paraId="71626049" w14:textId="77777777" w:rsidR="00AF4E4F" w:rsidRPr="00974DEC" w:rsidRDefault="00AF4E4F" w:rsidP="009F74AC">
                  <w:pPr>
                    <w:tabs>
                      <w:tab w:val="left" w:pos="342"/>
                    </w:tabs>
                    <w:spacing w:after="120"/>
                    <w:jc w:val="center"/>
                  </w:pPr>
                  <w:r w:rsidRPr="00974DEC">
                    <w:t>7%</w:t>
                  </w:r>
                </w:p>
              </w:tc>
            </w:tr>
            <w:tr w:rsidR="00AF4E4F" w:rsidRPr="009214FB" w14:paraId="5A2EC13B" w14:textId="77777777" w:rsidTr="00AF4E4F">
              <w:tc>
                <w:tcPr>
                  <w:tcW w:w="3261" w:type="dxa"/>
                </w:tcPr>
                <w:p w14:paraId="457BB344" w14:textId="77777777" w:rsidR="00AF4E4F" w:rsidRPr="00974DEC" w:rsidRDefault="00AF4E4F" w:rsidP="009F74AC">
                  <w:pPr>
                    <w:tabs>
                      <w:tab w:val="left" w:pos="342"/>
                    </w:tabs>
                    <w:spacing w:after="120"/>
                  </w:pPr>
                  <w:r w:rsidRPr="00974DEC">
                    <w:t>10 years and above</w:t>
                  </w:r>
                </w:p>
              </w:tc>
              <w:tc>
                <w:tcPr>
                  <w:tcW w:w="1559" w:type="dxa"/>
                </w:tcPr>
                <w:p w14:paraId="4E5C5AFC" w14:textId="77777777" w:rsidR="00AF4E4F" w:rsidRPr="00974DEC" w:rsidRDefault="00AF4E4F" w:rsidP="009F74AC">
                  <w:pPr>
                    <w:tabs>
                      <w:tab w:val="left" w:pos="342"/>
                    </w:tabs>
                    <w:spacing w:after="120"/>
                    <w:jc w:val="center"/>
                  </w:pPr>
                  <w:r w:rsidRPr="00974DEC">
                    <w:t>50%</w:t>
                  </w:r>
                </w:p>
              </w:tc>
              <w:tc>
                <w:tcPr>
                  <w:tcW w:w="1701" w:type="dxa"/>
                </w:tcPr>
                <w:p w14:paraId="481B4B90" w14:textId="77777777" w:rsidR="00AF4E4F" w:rsidRPr="00974DEC" w:rsidRDefault="00AF4E4F" w:rsidP="009F74AC">
                  <w:pPr>
                    <w:tabs>
                      <w:tab w:val="left" w:pos="342"/>
                    </w:tabs>
                    <w:spacing w:after="120"/>
                    <w:jc w:val="center"/>
                  </w:pPr>
                  <w:r w:rsidRPr="00974DEC">
                    <w:t>20%</w:t>
                  </w:r>
                </w:p>
              </w:tc>
            </w:tr>
          </w:tbl>
          <w:p w14:paraId="4EB7E02E" w14:textId="77777777" w:rsidR="009F74AC" w:rsidRPr="009214FB" w:rsidRDefault="009F74AC" w:rsidP="009F74AC">
            <w:pPr>
              <w:tabs>
                <w:tab w:val="left" w:pos="342"/>
              </w:tabs>
              <w:spacing w:after="120"/>
              <w:ind w:left="342"/>
            </w:pPr>
          </w:p>
        </w:tc>
      </w:tr>
    </w:tbl>
    <w:p w14:paraId="0F660BB5" w14:textId="77777777" w:rsidR="00E21386" w:rsidRDefault="00E21386" w:rsidP="009F74AC"/>
    <w:p w14:paraId="58DBD36D" w14:textId="77777777" w:rsidR="009F74AC" w:rsidRPr="009214FB" w:rsidRDefault="009F74AC" w:rsidP="009F74AC">
      <w:pPr>
        <w:pStyle w:val="ListParagraph"/>
        <w:tabs>
          <w:tab w:val="left" w:pos="0"/>
        </w:tabs>
        <w:spacing w:after="200" w:line="276" w:lineRule="auto"/>
        <w:ind w:left="0"/>
        <w:rPr>
          <w:b/>
          <w:color w:val="000000"/>
        </w:rPr>
      </w:pPr>
      <w:r w:rsidRPr="009214FB">
        <w:rPr>
          <w:b/>
          <w:color w:val="000000"/>
        </w:rPr>
        <w:t>Investments over 36</w:t>
      </w:r>
      <w:r w:rsidR="00B2212E" w:rsidRPr="009214FB">
        <w:rPr>
          <w:b/>
          <w:color w:val="000000"/>
        </w:rPr>
        <w:t>4</w:t>
      </w:r>
      <w:r w:rsidRPr="009214FB">
        <w:rPr>
          <w:b/>
          <w:color w:val="000000"/>
        </w:rPr>
        <w:t xml:space="preserve"> days</w:t>
      </w:r>
    </w:p>
    <w:p w14:paraId="044AF10A" w14:textId="3181B964" w:rsidR="009F74AC" w:rsidRDefault="009E48A6" w:rsidP="001274B0">
      <w:pPr>
        <w:jc w:val="both"/>
        <w:rPr>
          <w:color w:val="000000"/>
        </w:rPr>
      </w:pPr>
      <w:r>
        <w:rPr>
          <w:color w:val="000000"/>
        </w:rPr>
        <w:t>Limit on the level of long term investments helps to control liquidity, although the majority of these investments are held in available for sale securities.</w:t>
      </w:r>
      <w:r w:rsidR="00BF0ED2">
        <w:rPr>
          <w:color w:val="000000"/>
        </w:rPr>
        <w:t xml:space="preserve"> The limit is an operational one and if required can be exceeded with the approval of the Chief Financial Officer. The proposed operational limit is</w:t>
      </w:r>
    </w:p>
    <w:p w14:paraId="744E23C4" w14:textId="77777777" w:rsidR="00471A5B" w:rsidRPr="009214FB" w:rsidRDefault="00471A5B" w:rsidP="009F74AC">
      <w:pPr>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276"/>
        <w:gridCol w:w="1276"/>
      </w:tblGrid>
      <w:tr w:rsidR="009F74AC" w:rsidRPr="009214FB" w14:paraId="678CD3F2" w14:textId="77777777" w:rsidTr="00AF4E4F">
        <w:trPr>
          <w:jc w:val="center"/>
        </w:trPr>
        <w:tc>
          <w:tcPr>
            <w:tcW w:w="4476" w:type="dxa"/>
            <w:tcBorders>
              <w:top w:val="single" w:sz="4" w:space="0" w:color="auto"/>
              <w:left w:val="single" w:sz="4" w:space="0" w:color="auto"/>
              <w:bottom w:val="single" w:sz="6" w:space="0" w:color="auto"/>
              <w:right w:val="single" w:sz="6" w:space="0" w:color="auto"/>
            </w:tcBorders>
          </w:tcPr>
          <w:p w14:paraId="74BF1820" w14:textId="77777777" w:rsidR="009F74AC" w:rsidRPr="009214FB" w:rsidRDefault="009F74AC" w:rsidP="009F74AC">
            <w:pPr>
              <w:rPr>
                <w:color w:val="000000"/>
              </w:rPr>
            </w:pPr>
          </w:p>
        </w:tc>
        <w:tc>
          <w:tcPr>
            <w:tcW w:w="1276" w:type="dxa"/>
            <w:tcBorders>
              <w:top w:val="single" w:sz="4" w:space="0" w:color="auto"/>
              <w:left w:val="single" w:sz="6" w:space="0" w:color="auto"/>
              <w:bottom w:val="single" w:sz="6" w:space="0" w:color="auto"/>
              <w:right w:val="single" w:sz="4" w:space="0" w:color="auto"/>
            </w:tcBorders>
            <w:vAlign w:val="center"/>
          </w:tcPr>
          <w:p w14:paraId="620D82A0" w14:textId="77777777" w:rsidR="009F74AC" w:rsidRPr="009214FB" w:rsidRDefault="009F74AC" w:rsidP="009F74AC">
            <w:pPr>
              <w:jc w:val="center"/>
              <w:rPr>
                <w:b/>
                <w:color w:val="000000"/>
              </w:rPr>
            </w:pPr>
            <w:r w:rsidRPr="009214FB">
              <w:rPr>
                <w:b/>
                <w:color w:val="000000"/>
              </w:rPr>
              <w:t>Upper limit</w:t>
            </w:r>
          </w:p>
        </w:tc>
        <w:tc>
          <w:tcPr>
            <w:tcW w:w="1276" w:type="dxa"/>
            <w:tcBorders>
              <w:left w:val="single" w:sz="4" w:space="0" w:color="auto"/>
            </w:tcBorders>
            <w:vAlign w:val="center"/>
          </w:tcPr>
          <w:p w14:paraId="3B592FD5" w14:textId="77777777" w:rsidR="009F74AC" w:rsidRPr="009214FB" w:rsidRDefault="009F74AC" w:rsidP="00E83AEB">
            <w:pPr>
              <w:jc w:val="center"/>
              <w:rPr>
                <w:b/>
                <w:color w:val="000000"/>
              </w:rPr>
            </w:pPr>
          </w:p>
        </w:tc>
      </w:tr>
      <w:tr w:rsidR="009F74AC" w:rsidRPr="009214FB" w14:paraId="3E7F6876" w14:textId="77777777" w:rsidTr="00AF4E4F">
        <w:trPr>
          <w:jc w:val="center"/>
        </w:trPr>
        <w:tc>
          <w:tcPr>
            <w:tcW w:w="4476" w:type="dxa"/>
            <w:tcBorders>
              <w:top w:val="single" w:sz="6" w:space="0" w:color="auto"/>
              <w:left w:val="single" w:sz="4" w:space="0" w:color="auto"/>
              <w:bottom w:val="single" w:sz="6" w:space="0" w:color="auto"/>
              <w:right w:val="single" w:sz="6" w:space="0" w:color="auto"/>
            </w:tcBorders>
          </w:tcPr>
          <w:p w14:paraId="20ABD564" w14:textId="77777777" w:rsidR="009F74AC" w:rsidRPr="009214FB" w:rsidRDefault="009F74AC" w:rsidP="009F74AC">
            <w:pPr>
              <w:rPr>
                <w:color w:val="000000"/>
              </w:rPr>
            </w:pPr>
          </w:p>
        </w:tc>
        <w:tc>
          <w:tcPr>
            <w:tcW w:w="1276" w:type="dxa"/>
            <w:tcBorders>
              <w:top w:val="single" w:sz="6" w:space="0" w:color="auto"/>
              <w:left w:val="single" w:sz="6" w:space="0" w:color="auto"/>
              <w:bottom w:val="single" w:sz="6" w:space="0" w:color="auto"/>
              <w:right w:val="single" w:sz="4" w:space="0" w:color="auto"/>
            </w:tcBorders>
            <w:vAlign w:val="center"/>
          </w:tcPr>
          <w:p w14:paraId="7B261512" w14:textId="77777777" w:rsidR="009F74AC" w:rsidRPr="009214FB" w:rsidRDefault="009F74AC" w:rsidP="009F74AC">
            <w:pPr>
              <w:jc w:val="center"/>
              <w:rPr>
                <w:b/>
                <w:color w:val="000000"/>
              </w:rPr>
            </w:pPr>
            <w:r w:rsidRPr="009214FB">
              <w:rPr>
                <w:b/>
                <w:color w:val="000000"/>
              </w:rPr>
              <w:t>£m</w:t>
            </w:r>
          </w:p>
        </w:tc>
        <w:tc>
          <w:tcPr>
            <w:tcW w:w="1276" w:type="dxa"/>
            <w:tcBorders>
              <w:left w:val="single" w:sz="4" w:space="0" w:color="auto"/>
            </w:tcBorders>
            <w:vAlign w:val="center"/>
          </w:tcPr>
          <w:p w14:paraId="7F035922" w14:textId="77777777" w:rsidR="009F74AC" w:rsidRPr="009214FB" w:rsidRDefault="009F74AC" w:rsidP="009F74AC">
            <w:pPr>
              <w:jc w:val="center"/>
              <w:rPr>
                <w:b/>
                <w:color w:val="000000"/>
              </w:rPr>
            </w:pPr>
          </w:p>
        </w:tc>
      </w:tr>
      <w:tr w:rsidR="00277A17" w:rsidRPr="009214FB" w14:paraId="78F15396" w14:textId="77777777" w:rsidTr="00AF4E4F">
        <w:trPr>
          <w:jc w:val="center"/>
        </w:trPr>
        <w:tc>
          <w:tcPr>
            <w:tcW w:w="4476" w:type="dxa"/>
            <w:tcBorders>
              <w:top w:val="single" w:sz="6" w:space="0" w:color="auto"/>
              <w:left w:val="single" w:sz="4" w:space="0" w:color="auto"/>
              <w:bottom w:val="single" w:sz="4" w:space="0" w:color="auto"/>
              <w:right w:val="single" w:sz="6" w:space="0" w:color="auto"/>
            </w:tcBorders>
          </w:tcPr>
          <w:p w14:paraId="38D73B21" w14:textId="77777777" w:rsidR="003409E6" w:rsidRPr="00F861B8" w:rsidRDefault="003409E6" w:rsidP="009F74AC">
            <w:pPr>
              <w:rPr>
                <w:b/>
                <w:color w:val="000000"/>
              </w:rPr>
            </w:pPr>
            <w:r w:rsidRPr="00F861B8">
              <w:rPr>
                <w:b/>
                <w:color w:val="000000"/>
              </w:rPr>
              <w:t>Operating Limit</w:t>
            </w:r>
          </w:p>
          <w:p w14:paraId="340426AC" w14:textId="77777777" w:rsidR="00277A17" w:rsidRPr="009214FB" w:rsidRDefault="00277A17">
            <w:pPr>
              <w:rPr>
                <w:color w:val="000000"/>
              </w:rPr>
            </w:pPr>
            <w:r>
              <w:rPr>
                <w:color w:val="000000"/>
              </w:rPr>
              <w:t>Total invested over 364 days</w:t>
            </w:r>
          </w:p>
        </w:tc>
        <w:tc>
          <w:tcPr>
            <w:tcW w:w="1276" w:type="dxa"/>
            <w:tcBorders>
              <w:top w:val="single" w:sz="6" w:space="0" w:color="auto"/>
              <w:left w:val="single" w:sz="6" w:space="0" w:color="auto"/>
              <w:bottom w:val="single" w:sz="4" w:space="0" w:color="auto"/>
              <w:right w:val="single" w:sz="4" w:space="0" w:color="auto"/>
            </w:tcBorders>
          </w:tcPr>
          <w:p w14:paraId="1E4C6B7A" w14:textId="77777777" w:rsidR="003409E6" w:rsidRDefault="003409E6" w:rsidP="009F74AC">
            <w:pPr>
              <w:jc w:val="center"/>
              <w:rPr>
                <w:color w:val="000000"/>
              </w:rPr>
            </w:pPr>
          </w:p>
          <w:p w14:paraId="74C3FCBC" w14:textId="77777777" w:rsidR="00277A17" w:rsidRPr="009214FB" w:rsidDel="00B275D8" w:rsidRDefault="00E83AEB" w:rsidP="00BF0ED2">
            <w:pPr>
              <w:jc w:val="center"/>
              <w:rPr>
                <w:color w:val="000000"/>
              </w:rPr>
            </w:pPr>
            <w:r>
              <w:rPr>
                <w:color w:val="000000"/>
              </w:rPr>
              <w:t>450</w:t>
            </w:r>
          </w:p>
        </w:tc>
        <w:tc>
          <w:tcPr>
            <w:tcW w:w="1276" w:type="dxa"/>
            <w:tcBorders>
              <w:left w:val="single" w:sz="4" w:space="0" w:color="auto"/>
            </w:tcBorders>
          </w:tcPr>
          <w:p w14:paraId="1DC3BB33" w14:textId="77777777" w:rsidR="00277A17" w:rsidRPr="0011503A" w:rsidRDefault="00277A17" w:rsidP="00E92599">
            <w:pPr>
              <w:jc w:val="center"/>
              <w:rPr>
                <w:color w:val="000000" w:themeColor="text1"/>
                <w:highlight w:val="magenta"/>
              </w:rPr>
            </w:pPr>
          </w:p>
        </w:tc>
      </w:tr>
      <w:tr w:rsidR="00277A17" w:rsidRPr="009214FB" w14:paraId="1F9AD74A" w14:textId="77777777" w:rsidTr="00AF4E4F">
        <w:trPr>
          <w:jc w:val="center"/>
        </w:trPr>
        <w:tc>
          <w:tcPr>
            <w:tcW w:w="4476" w:type="dxa"/>
            <w:tcBorders>
              <w:top w:val="single" w:sz="4" w:space="0" w:color="auto"/>
            </w:tcBorders>
          </w:tcPr>
          <w:p w14:paraId="5D20AD4F" w14:textId="77777777" w:rsidR="00277A17" w:rsidRPr="009214FB" w:rsidRDefault="00277A17" w:rsidP="009F74AC">
            <w:pPr>
              <w:rPr>
                <w:color w:val="000000"/>
              </w:rPr>
            </w:pPr>
          </w:p>
        </w:tc>
        <w:tc>
          <w:tcPr>
            <w:tcW w:w="1276" w:type="dxa"/>
            <w:tcBorders>
              <w:top w:val="single" w:sz="4" w:space="0" w:color="auto"/>
            </w:tcBorders>
          </w:tcPr>
          <w:p w14:paraId="49A58771" w14:textId="77777777" w:rsidR="00277A17" w:rsidRPr="009214FB" w:rsidRDefault="00277A17" w:rsidP="009F74AC">
            <w:pPr>
              <w:jc w:val="center"/>
              <w:rPr>
                <w:color w:val="000000"/>
              </w:rPr>
            </w:pPr>
          </w:p>
        </w:tc>
        <w:tc>
          <w:tcPr>
            <w:tcW w:w="1276" w:type="dxa"/>
          </w:tcPr>
          <w:p w14:paraId="6E49C86C" w14:textId="77777777" w:rsidR="00277A17" w:rsidRPr="0011503A" w:rsidRDefault="00277A17" w:rsidP="009F74AC">
            <w:pPr>
              <w:jc w:val="center"/>
              <w:rPr>
                <w:color w:val="000000"/>
                <w:highlight w:val="magenta"/>
              </w:rPr>
            </w:pPr>
          </w:p>
        </w:tc>
      </w:tr>
    </w:tbl>
    <w:p w14:paraId="077B6FE8" w14:textId="77777777" w:rsidR="009E48A6" w:rsidRDefault="009F74AC" w:rsidP="00BF0506">
      <w:pPr>
        <w:rPr>
          <w:b/>
          <w:color w:val="000000"/>
        </w:rPr>
      </w:pPr>
      <w:r w:rsidRPr="009214FB">
        <w:rPr>
          <w:b/>
          <w:color w:val="000000"/>
        </w:rPr>
        <w:t>Minimum Average Credit Rating</w:t>
      </w:r>
    </w:p>
    <w:p w14:paraId="683C07FC" w14:textId="77777777" w:rsidR="001274B0" w:rsidRDefault="001274B0" w:rsidP="009F74AC">
      <w:pPr>
        <w:pStyle w:val="ListParagraph"/>
        <w:tabs>
          <w:tab w:val="left" w:pos="0"/>
        </w:tabs>
        <w:spacing w:after="200" w:line="276" w:lineRule="auto"/>
        <w:ind w:left="0"/>
        <w:rPr>
          <w:color w:val="000000"/>
        </w:rPr>
      </w:pPr>
    </w:p>
    <w:p w14:paraId="2580BA46" w14:textId="77777777" w:rsidR="007F6754" w:rsidRPr="009E48A6" w:rsidRDefault="007F6754" w:rsidP="009F74AC">
      <w:pPr>
        <w:pStyle w:val="ListParagraph"/>
        <w:tabs>
          <w:tab w:val="left" w:pos="0"/>
        </w:tabs>
        <w:spacing w:after="200" w:line="276" w:lineRule="auto"/>
        <w:ind w:left="0"/>
        <w:rPr>
          <w:color w:val="000000"/>
        </w:rPr>
      </w:pPr>
      <w:r w:rsidRPr="009E48A6">
        <w:rPr>
          <w:color w:val="000000"/>
        </w:rPr>
        <w:t xml:space="preserve">To control credit risk the </w:t>
      </w:r>
      <w:r w:rsidR="009A19CB">
        <w:rPr>
          <w:color w:val="000000"/>
        </w:rPr>
        <w:t>County Council</w:t>
      </w:r>
      <w:r w:rsidR="009A19CB" w:rsidRPr="009E48A6">
        <w:rPr>
          <w:color w:val="000000"/>
        </w:rPr>
        <w:t xml:space="preserve"> </w:t>
      </w:r>
      <w:r w:rsidRPr="009E48A6">
        <w:rPr>
          <w:color w:val="000000"/>
        </w:rPr>
        <w:t>requires a very high credit rating from its treasury counterparties</w:t>
      </w:r>
    </w:p>
    <w:tbl>
      <w:tblPr>
        <w:tblStyle w:val="TableGrid"/>
        <w:tblW w:w="0" w:type="auto"/>
        <w:jc w:val="center"/>
        <w:tblLook w:val="04A0" w:firstRow="1" w:lastRow="0" w:firstColumn="1" w:lastColumn="0" w:noHBand="0" w:noVBand="1"/>
      </w:tblPr>
      <w:tblGrid>
        <w:gridCol w:w="4476"/>
        <w:gridCol w:w="1524"/>
        <w:gridCol w:w="1276"/>
      </w:tblGrid>
      <w:tr w:rsidR="009F74AC" w:rsidRPr="009214FB" w14:paraId="4714CFE7" w14:textId="77777777" w:rsidTr="00AF4E4F">
        <w:trPr>
          <w:jc w:val="center"/>
        </w:trPr>
        <w:tc>
          <w:tcPr>
            <w:tcW w:w="4476" w:type="dxa"/>
          </w:tcPr>
          <w:p w14:paraId="5676E299" w14:textId="77777777" w:rsidR="009F74AC" w:rsidRPr="009214FB" w:rsidRDefault="009F74AC" w:rsidP="009F74AC">
            <w:pPr>
              <w:rPr>
                <w:color w:val="000000"/>
              </w:rPr>
            </w:pPr>
          </w:p>
        </w:tc>
        <w:tc>
          <w:tcPr>
            <w:tcW w:w="1276" w:type="dxa"/>
            <w:vAlign w:val="center"/>
          </w:tcPr>
          <w:p w14:paraId="29DFF940" w14:textId="77777777" w:rsidR="009F74AC" w:rsidRPr="009214FB" w:rsidRDefault="009F74AC" w:rsidP="009F74AC">
            <w:pPr>
              <w:jc w:val="center"/>
              <w:rPr>
                <w:b/>
                <w:color w:val="000000"/>
              </w:rPr>
            </w:pPr>
            <w:r w:rsidRPr="009214FB">
              <w:rPr>
                <w:b/>
                <w:color w:val="000000"/>
              </w:rPr>
              <w:t>Benchmark</w:t>
            </w:r>
          </w:p>
        </w:tc>
        <w:tc>
          <w:tcPr>
            <w:tcW w:w="1276" w:type="dxa"/>
            <w:vAlign w:val="center"/>
          </w:tcPr>
          <w:p w14:paraId="1069D4C9" w14:textId="77777777" w:rsidR="009F74AC" w:rsidRPr="009214FB" w:rsidRDefault="00F96065" w:rsidP="00E83AEB">
            <w:pPr>
              <w:jc w:val="center"/>
              <w:rPr>
                <w:b/>
                <w:color w:val="000000"/>
              </w:rPr>
            </w:pPr>
            <w:r>
              <w:rPr>
                <w:b/>
                <w:color w:val="000000"/>
              </w:rPr>
              <w:t xml:space="preserve">Dec </w:t>
            </w:r>
            <w:r w:rsidR="00D759C9">
              <w:rPr>
                <w:b/>
                <w:color w:val="000000"/>
              </w:rPr>
              <w:t>201</w:t>
            </w:r>
            <w:r w:rsidR="00E83AEB">
              <w:rPr>
                <w:b/>
                <w:color w:val="000000"/>
              </w:rPr>
              <w:t>6</w:t>
            </w:r>
          </w:p>
        </w:tc>
      </w:tr>
      <w:tr w:rsidR="009F74AC" w:rsidRPr="009214FB" w14:paraId="3ABA7CE9" w14:textId="77777777" w:rsidTr="00AF4E4F">
        <w:trPr>
          <w:jc w:val="center"/>
        </w:trPr>
        <w:tc>
          <w:tcPr>
            <w:tcW w:w="4476" w:type="dxa"/>
          </w:tcPr>
          <w:p w14:paraId="0478A331" w14:textId="77777777" w:rsidR="009F74AC" w:rsidRPr="009214FB" w:rsidRDefault="009F74AC" w:rsidP="009F74AC">
            <w:pPr>
              <w:rPr>
                <w:color w:val="000000"/>
              </w:rPr>
            </w:pPr>
          </w:p>
        </w:tc>
        <w:tc>
          <w:tcPr>
            <w:tcW w:w="1276" w:type="dxa"/>
          </w:tcPr>
          <w:p w14:paraId="23195336" w14:textId="77777777" w:rsidR="009F74AC" w:rsidRPr="009214FB" w:rsidRDefault="009F74AC" w:rsidP="009F74AC">
            <w:pPr>
              <w:jc w:val="center"/>
              <w:rPr>
                <w:color w:val="000000"/>
              </w:rPr>
            </w:pPr>
          </w:p>
        </w:tc>
        <w:tc>
          <w:tcPr>
            <w:tcW w:w="1276" w:type="dxa"/>
          </w:tcPr>
          <w:p w14:paraId="1D9A123D" w14:textId="77777777" w:rsidR="009F74AC" w:rsidRPr="009214FB" w:rsidRDefault="009F74AC" w:rsidP="009F74AC">
            <w:pPr>
              <w:jc w:val="center"/>
              <w:rPr>
                <w:color w:val="000000"/>
              </w:rPr>
            </w:pPr>
          </w:p>
        </w:tc>
      </w:tr>
      <w:tr w:rsidR="009F74AC" w:rsidRPr="009214FB" w14:paraId="4A58D416" w14:textId="77777777" w:rsidTr="00AF4E4F">
        <w:trPr>
          <w:jc w:val="center"/>
        </w:trPr>
        <w:tc>
          <w:tcPr>
            <w:tcW w:w="4476" w:type="dxa"/>
          </w:tcPr>
          <w:p w14:paraId="1F56CCD0" w14:textId="77777777" w:rsidR="009F74AC" w:rsidRPr="009214FB" w:rsidRDefault="009F74AC" w:rsidP="009F74AC">
            <w:pPr>
              <w:rPr>
                <w:color w:val="000000"/>
              </w:rPr>
            </w:pPr>
            <w:r w:rsidRPr="009214FB">
              <w:rPr>
                <w:color w:val="000000"/>
              </w:rPr>
              <w:t>Average counterparty credit rating</w:t>
            </w:r>
          </w:p>
        </w:tc>
        <w:tc>
          <w:tcPr>
            <w:tcW w:w="1276" w:type="dxa"/>
          </w:tcPr>
          <w:p w14:paraId="5FFC1D0E" w14:textId="77777777" w:rsidR="009F74AC" w:rsidRPr="009214FB" w:rsidRDefault="009F74AC" w:rsidP="009F74AC">
            <w:pPr>
              <w:jc w:val="center"/>
              <w:rPr>
                <w:color w:val="000000"/>
              </w:rPr>
            </w:pPr>
            <w:r w:rsidRPr="009214FB">
              <w:rPr>
                <w:color w:val="000000"/>
              </w:rPr>
              <w:t>A+</w:t>
            </w:r>
          </w:p>
        </w:tc>
        <w:tc>
          <w:tcPr>
            <w:tcW w:w="1276" w:type="dxa"/>
          </w:tcPr>
          <w:p w14:paraId="65F38597" w14:textId="77777777" w:rsidR="009F74AC" w:rsidRPr="009214FB" w:rsidRDefault="00F96065" w:rsidP="009F74AC">
            <w:pPr>
              <w:jc w:val="center"/>
              <w:rPr>
                <w:color w:val="000000"/>
              </w:rPr>
            </w:pPr>
            <w:r>
              <w:rPr>
                <w:color w:val="000000"/>
              </w:rPr>
              <w:t>AA</w:t>
            </w:r>
            <w:r w:rsidR="00974DEC">
              <w:rPr>
                <w:color w:val="000000"/>
              </w:rPr>
              <w:t>+</w:t>
            </w:r>
          </w:p>
        </w:tc>
      </w:tr>
    </w:tbl>
    <w:p w14:paraId="4CCD2EDA" w14:textId="77777777" w:rsidR="009F74AC" w:rsidRPr="00455EBD" w:rsidRDefault="009F74AC" w:rsidP="009F74AC">
      <w:pPr>
        <w:rPr>
          <w:color w:val="000000"/>
        </w:rPr>
      </w:pPr>
      <w:bookmarkStart w:id="0" w:name="_GoBack"/>
      <w:bookmarkEnd w:id="0"/>
    </w:p>
    <w:sectPr w:rsidR="009F74AC" w:rsidRPr="00455EBD"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F0CDFC"/>
    <w:lvl w:ilvl="0">
      <w:numFmt w:val="decimal"/>
      <w:lvlText w:val="*"/>
      <w:lvlJc w:val="left"/>
      <w:rPr>
        <w:rFonts w:cs="Times New Roman"/>
      </w:rPr>
    </w:lvl>
  </w:abstractNum>
  <w:abstractNum w:abstractNumId="1" w15:restartNumberingAfterBreak="0">
    <w:nsid w:val="00D227EE"/>
    <w:multiLevelType w:val="hybridMultilevel"/>
    <w:tmpl w:val="FD10DC60"/>
    <w:lvl w:ilvl="0" w:tplc="7E3C3D22">
      <w:start w:val="1"/>
      <w:numFmt w:val="lowerRoman"/>
      <w:lvlText w:val="%1)"/>
      <w:lvlJc w:val="left"/>
      <w:pPr>
        <w:ind w:left="720" w:hanging="360"/>
      </w:pPr>
      <w:rPr>
        <w:rFonts w:hint="default"/>
      </w:rPr>
    </w:lvl>
    <w:lvl w:ilvl="1" w:tplc="988CA95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86965"/>
    <w:multiLevelType w:val="hybridMultilevel"/>
    <w:tmpl w:val="AD80A86E"/>
    <w:lvl w:ilvl="0" w:tplc="F398D8A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7F268F"/>
    <w:multiLevelType w:val="hybridMultilevel"/>
    <w:tmpl w:val="00C0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5F3E"/>
    <w:multiLevelType w:val="hybridMultilevel"/>
    <w:tmpl w:val="B89E3232"/>
    <w:lvl w:ilvl="0" w:tplc="C8C0E58A">
      <w:start w:val="1"/>
      <w:numFmt w:val="bullet"/>
      <w:lvlText w:val=""/>
      <w:lvlJc w:val="left"/>
      <w:pPr>
        <w:tabs>
          <w:tab w:val="num" w:pos="720"/>
        </w:tabs>
        <w:ind w:left="720" w:hanging="360"/>
      </w:pPr>
      <w:rPr>
        <w:rFonts w:ascii="Symbol" w:hAnsi="Symbol" w:hint="default"/>
        <w:color w:val="auto"/>
      </w:rPr>
    </w:lvl>
    <w:lvl w:ilvl="1" w:tplc="18C0F70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FE4"/>
    <w:multiLevelType w:val="hybridMultilevel"/>
    <w:tmpl w:val="FCEA6848"/>
    <w:lvl w:ilvl="0" w:tplc="27B0D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34BA"/>
    <w:multiLevelType w:val="hybridMultilevel"/>
    <w:tmpl w:val="0A2692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0E6606B0"/>
    <w:multiLevelType w:val="hybridMultilevel"/>
    <w:tmpl w:val="58E84118"/>
    <w:lvl w:ilvl="0" w:tplc="C8C0E5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9272B"/>
    <w:multiLevelType w:val="hybridMultilevel"/>
    <w:tmpl w:val="FA6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E6AF7"/>
    <w:multiLevelType w:val="hybridMultilevel"/>
    <w:tmpl w:val="868409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36A7FFA"/>
    <w:multiLevelType w:val="hybridMultilevel"/>
    <w:tmpl w:val="59C8B2DE"/>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BE0D07"/>
    <w:multiLevelType w:val="hybridMultilevel"/>
    <w:tmpl w:val="E7069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1560A"/>
    <w:multiLevelType w:val="hybridMultilevel"/>
    <w:tmpl w:val="24C8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07C22"/>
    <w:multiLevelType w:val="hybridMultilevel"/>
    <w:tmpl w:val="F32ECE4A"/>
    <w:lvl w:ilvl="0" w:tplc="C8C0E58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A50B3"/>
    <w:multiLevelType w:val="hybridMultilevel"/>
    <w:tmpl w:val="2570ACBA"/>
    <w:lvl w:ilvl="0" w:tplc="C8C0E58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157FF"/>
    <w:multiLevelType w:val="hybridMultilevel"/>
    <w:tmpl w:val="49CA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00E53"/>
    <w:multiLevelType w:val="hybridMultilevel"/>
    <w:tmpl w:val="5D8E941A"/>
    <w:lvl w:ilvl="0" w:tplc="12628924">
      <w:start w:val="1"/>
      <w:numFmt w:val="bullet"/>
      <w:lvlText w:val=""/>
      <w:lvlJc w:val="left"/>
      <w:pPr>
        <w:tabs>
          <w:tab w:val="num" w:pos="720"/>
        </w:tabs>
        <w:ind w:left="720" w:hanging="360"/>
      </w:pPr>
      <w:rPr>
        <w:rFonts w:ascii="Wingdings" w:hAnsi="Wingdings" w:hint="default"/>
      </w:rPr>
    </w:lvl>
    <w:lvl w:ilvl="1" w:tplc="C8D29CD2" w:tentative="1">
      <w:start w:val="1"/>
      <w:numFmt w:val="bullet"/>
      <w:lvlText w:val=""/>
      <w:lvlJc w:val="left"/>
      <w:pPr>
        <w:tabs>
          <w:tab w:val="num" w:pos="1440"/>
        </w:tabs>
        <w:ind w:left="1440" w:hanging="360"/>
      </w:pPr>
      <w:rPr>
        <w:rFonts w:ascii="Wingdings" w:hAnsi="Wingdings" w:hint="default"/>
      </w:rPr>
    </w:lvl>
    <w:lvl w:ilvl="2" w:tplc="B450E346" w:tentative="1">
      <w:start w:val="1"/>
      <w:numFmt w:val="bullet"/>
      <w:lvlText w:val=""/>
      <w:lvlJc w:val="left"/>
      <w:pPr>
        <w:tabs>
          <w:tab w:val="num" w:pos="2160"/>
        </w:tabs>
        <w:ind w:left="2160" w:hanging="360"/>
      </w:pPr>
      <w:rPr>
        <w:rFonts w:ascii="Wingdings" w:hAnsi="Wingdings" w:hint="default"/>
      </w:rPr>
    </w:lvl>
    <w:lvl w:ilvl="3" w:tplc="A2F067C8" w:tentative="1">
      <w:start w:val="1"/>
      <w:numFmt w:val="bullet"/>
      <w:lvlText w:val=""/>
      <w:lvlJc w:val="left"/>
      <w:pPr>
        <w:tabs>
          <w:tab w:val="num" w:pos="2880"/>
        </w:tabs>
        <w:ind w:left="2880" w:hanging="360"/>
      </w:pPr>
      <w:rPr>
        <w:rFonts w:ascii="Wingdings" w:hAnsi="Wingdings" w:hint="default"/>
      </w:rPr>
    </w:lvl>
    <w:lvl w:ilvl="4" w:tplc="E89C5748" w:tentative="1">
      <w:start w:val="1"/>
      <w:numFmt w:val="bullet"/>
      <w:lvlText w:val=""/>
      <w:lvlJc w:val="left"/>
      <w:pPr>
        <w:tabs>
          <w:tab w:val="num" w:pos="3600"/>
        </w:tabs>
        <w:ind w:left="3600" w:hanging="360"/>
      </w:pPr>
      <w:rPr>
        <w:rFonts w:ascii="Wingdings" w:hAnsi="Wingdings" w:hint="default"/>
      </w:rPr>
    </w:lvl>
    <w:lvl w:ilvl="5" w:tplc="C5EC9232" w:tentative="1">
      <w:start w:val="1"/>
      <w:numFmt w:val="bullet"/>
      <w:lvlText w:val=""/>
      <w:lvlJc w:val="left"/>
      <w:pPr>
        <w:tabs>
          <w:tab w:val="num" w:pos="4320"/>
        </w:tabs>
        <w:ind w:left="4320" w:hanging="360"/>
      </w:pPr>
      <w:rPr>
        <w:rFonts w:ascii="Wingdings" w:hAnsi="Wingdings" w:hint="default"/>
      </w:rPr>
    </w:lvl>
    <w:lvl w:ilvl="6" w:tplc="1D92BBDE" w:tentative="1">
      <w:start w:val="1"/>
      <w:numFmt w:val="bullet"/>
      <w:lvlText w:val=""/>
      <w:lvlJc w:val="left"/>
      <w:pPr>
        <w:tabs>
          <w:tab w:val="num" w:pos="5040"/>
        </w:tabs>
        <w:ind w:left="5040" w:hanging="360"/>
      </w:pPr>
      <w:rPr>
        <w:rFonts w:ascii="Wingdings" w:hAnsi="Wingdings" w:hint="default"/>
      </w:rPr>
    </w:lvl>
    <w:lvl w:ilvl="7" w:tplc="BC00E824" w:tentative="1">
      <w:start w:val="1"/>
      <w:numFmt w:val="bullet"/>
      <w:lvlText w:val=""/>
      <w:lvlJc w:val="left"/>
      <w:pPr>
        <w:tabs>
          <w:tab w:val="num" w:pos="5760"/>
        </w:tabs>
        <w:ind w:left="5760" w:hanging="360"/>
      </w:pPr>
      <w:rPr>
        <w:rFonts w:ascii="Wingdings" w:hAnsi="Wingdings" w:hint="default"/>
      </w:rPr>
    </w:lvl>
    <w:lvl w:ilvl="8" w:tplc="460A7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35414F4E"/>
    <w:multiLevelType w:val="hybridMultilevel"/>
    <w:tmpl w:val="2778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E724C2"/>
    <w:multiLevelType w:val="hybridMultilevel"/>
    <w:tmpl w:val="3C04E8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AB73280"/>
    <w:multiLevelType w:val="hybridMultilevel"/>
    <w:tmpl w:val="9ABA5EE4"/>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2F0BD1"/>
    <w:multiLevelType w:val="hybridMultilevel"/>
    <w:tmpl w:val="0EF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E5F6B"/>
    <w:multiLevelType w:val="hybridMultilevel"/>
    <w:tmpl w:val="0C3827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67712E3"/>
    <w:multiLevelType w:val="multilevel"/>
    <w:tmpl w:val="5270F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72FF5"/>
    <w:multiLevelType w:val="multilevel"/>
    <w:tmpl w:val="517692AE"/>
    <w:lvl w:ilvl="0">
      <w:start w:val="1"/>
      <w:numFmt w:val="decimal"/>
      <w:lvlText w:val="%1."/>
      <w:lvlJc w:val="left"/>
      <w:pPr>
        <w:ind w:left="720" w:hanging="72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CA221CC"/>
    <w:multiLevelType w:val="hybridMultilevel"/>
    <w:tmpl w:val="8D16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7143A"/>
    <w:multiLevelType w:val="multilevel"/>
    <w:tmpl w:val="3620B35E"/>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AA6FBD"/>
    <w:multiLevelType w:val="hybridMultilevel"/>
    <w:tmpl w:val="F496B5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43A0CC9"/>
    <w:multiLevelType w:val="hybridMultilevel"/>
    <w:tmpl w:val="6EBA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61E04"/>
    <w:multiLevelType w:val="hybridMultilevel"/>
    <w:tmpl w:val="729896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C9E676F"/>
    <w:multiLevelType w:val="hybridMultilevel"/>
    <w:tmpl w:val="96444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B48D6"/>
    <w:multiLevelType w:val="hybridMultilevel"/>
    <w:tmpl w:val="210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10344"/>
    <w:multiLevelType w:val="hybridMultilevel"/>
    <w:tmpl w:val="26F28348"/>
    <w:lvl w:ilvl="0" w:tplc="27B0D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F1A0ED5"/>
    <w:multiLevelType w:val="hybridMultilevel"/>
    <w:tmpl w:val="C3E0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hint="default"/>
        <w:sz w:val="18"/>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F3E5171"/>
    <w:multiLevelType w:val="hybridMultilevel"/>
    <w:tmpl w:val="5C64C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3"/>
  </w:num>
  <w:num w:numId="4">
    <w:abstractNumId w:val="25"/>
  </w:num>
  <w:num w:numId="5">
    <w:abstractNumId w:val="21"/>
  </w:num>
  <w:num w:numId="6">
    <w:abstractNumId w:val="3"/>
  </w:num>
  <w:num w:numId="7">
    <w:abstractNumId w:val="31"/>
  </w:num>
  <w:num w:numId="8">
    <w:abstractNumId w:val="16"/>
  </w:num>
  <w:num w:numId="9">
    <w:abstractNumId w:val="9"/>
  </w:num>
  <w:num w:numId="10">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1">
    <w:abstractNumId w:val="39"/>
  </w:num>
  <w:num w:numId="12">
    <w:abstractNumId w:val="24"/>
  </w:num>
  <w:num w:numId="13">
    <w:abstractNumId w:val="15"/>
  </w:num>
  <w:num w:numId="14">
    <w:abstractNumId w:val="26"/>
  </w:num>
  <w:num w:numId="15">
    <w:abstractNumId w:val="11"/>
  </w:num>
  <w:num w:numId="16">
    <w:abstractNumId w:val="22"/>
  </w:num>
  <w:num w:numId="17">
    <w:abstractNumId w:val="36"/>
  </w:num>
  <w:num w:numId="18">
    <w:abstractNumId w:val="27"/>
  </w:num>
  <w:num w:numId="19">
    <w:abstractNumId w:val="36"/>
  </w:num>
  <w:num w:numId="20">
    <w:abstractNumId w:val="2"/>
  </w:num>
  <w:num w:numId="21">
    <w:abstractNumId w:val="2"/>
  </w:num>
  <w:num w:numId="22">
    <w:abstractNumId w:val="38"/>
  </w:num>
  <w:num w:numId="23">
    <w:abstractNumId w:val="12"/>
  </w:num>
  <w:num w:numId="24">
    <w:abstractNumId w:val="35"/>
  </w:num>
  <w:num w:numId="25">
    <w:abstractNumId w:val="20"/>
  </w:num>
  <w:num w:numId="26">
    <w:abstractNumId w:val="10"/>
  </w:num>
  <w:num w:numId="27">
    <w:abstractNumId w:val="37"/>
  </w:num>
  <w:num w:numId="28">
    <w:abstractNumId w:val="23"/>
  </w:num>
  <w:num w:numId="29">
    <w:abstractNumId w:val="7"/>
  </w:num>
  <w:num w:numId="30">
    <w:abstractNumId w:val="29"/>
  </w:num>
  <w:num w:numId="31">
    <w:abstractNumId w:val="1"/>
  </w:num>
  <w:num w:numId="32">
    <w:abstractNumId w:val="6"/>
  </w:num>
  <w:num w:numId="33">
    <w:abstractNumId w:val="40"/>
  </w:num>
  <w:num w:numId="34">
    <w:abstractNumId w:val="32"/>
  </w:num>
  <w:num w:numId="35">
    <w:abstractNumId w:val="19"/>
  </w:num>
  <w:num w:numId="36">
    <w:abstractNumId w:val="28"/>
  </w:num>
  <w:num w:numId="37">
    <w:abstractNumId w:val="34"/>
  </w:num>
  <w:num w:numId="38">
    <w:abstractNumId w:val="30"/>
  </w:num>
  <w:num w:numId="39">
    <w:abstractNumId w:val="17"/>
  </w:num>
  <w:num w:numId="40">
    <w:abstractNumId w:val="4"/>
  </w:num>
  <w:num w:numId="41">
    <w:abstractNumId w:val="33"/>
  </w:num>
  <w:num w:numId="42">
    <w:abstractNumId w:val="5"/>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0B"/>
    <w:rsid w:val="00003932"/>
    <w:rsid w:val="000045EE"/>
    <w:rsid w:val="000137DB"/>
    <w:rsid w:val="00013E6E"/>
    <w:rsid w:val="00015456"/>
    <w:rsid w:val="00016703"/>
    <w:rsid w:val="00020C9B"/>
    <w:rsid w:val="00023306"/>
    <w:rsid w:val="00025990"/>
    <w:rsid w:val="0003446E"/>
    <w:rsid w:val="00034F77"/>
    <w:rsid w:val="00034FDA"/>
    <w:rsid w:val="00040C37"/>
    <w:rsid w:val="0004267C"/>
    <w:rsid w:val="00043461"/>
    <w:rsid w:val="00045B6D"/>
    <w:rsid w:val="00046835"/>
    <w:rsid w:val="0004695A"/>
    <w:rsid w:val="00050670"/>
    <w:rsid w:val="00053889"/>
    <w:rsid w:val="00054FDF"/>
    <w:rsid w:val="0005560E"/>
    <w:rsid w:val="00057087"/>
    <w:rsid w:val="00057766"/>
    <w:rsid w:val="000577C2"/>
    <w:rsid w:val="00062C5C"/>
    <w:rsid w:val="000662B7"/>
    <w:rsid w:val="00066A7F"/>
    <w:rsid w:val="00067A1C"/>
    <w:rsid w:val="0007216A"/>
    <w:rsid w:val="00072E24"/>
    <w:rsid w:val="00075AB5"/>
    <w:rsid w:val="00081329"/>
    <w:rsid w:val="0008230A"/>
    <w:rsid w:val="00085216"/>
    <w:rsid w:val="00090B13"/>
    <w:rsid w:val="00094F92"/>
    <w:rsid w:val="00096161"/>
    <w:rsid w:val="000A1A7E"/>
    <w:rsid w:val="000A1B41"/>
    <w:rsid w:val="000A2B50"/>
    <w:rsid w:val="000A3141"/>
    <w:rsid w:val="000A32E8"/>
    <w:rsid w:val="000A34E6"/>
    <w:rsid w:val="000A38B2"/>
    <w:rsid w:val="000A7B0E"/>
    <w:rsid w:val="000B26DE"/>
    <w:rsid w:val="000B3BFA"/>
    <w:rsid w:val="000C3158"/>
    <w:rsid w:val="000C3B5D"/>
    <w:rsid w:val="000C41F4"/>
    <w:rsid w:val="000C7652"/>
    <w:rsid w:val="000D5627"/>
    <w:rsid w:val="000D587C"/>
    <w:rsid w:val="000E0C11"/>
    <w:rsid w:val="000E3FB7"/>
    <w:rsid w:val="000E4A66"/>
    <w:rsid w:val="000F416A"/>
    <w:rsid w:val="000F4D23"/>
    <w:rsid w:val="000F5E92"/>
    <w:rsid w:val="000F7B5E"/>
    <w:rsid w:val="00102475"/>
    <w:rsid w:val="00102C37"/>
    <w:rsid w:val="00104469"/>
    <w:rsid w:val="0010793C"/>
    <w:rsid w:val="001143BB"/>
    <w:rsid w:val="0011503A"/>
    <w:rsid w:val="00115DEE"/>
    <w:rsid w:val="0011617A"/>
    <w:rsid w:val="00116720"/>
    <w:rsid w:val="001170B5"/>
    <w:rsid w:val="001274B0"/>
    <w:rsid w:val="00131620"/>
    <w:rsid w:val="00135024"/>
    <w:rsid w:val="001354EE"/>
    <w:rsid w:val="0013604C"/>
    <w:rsid w:val="00140C62"/>
    <w:rsid w:val="00142F1A"/>
    <w:rsid w:val="00144D3A"/>
    <w:rsid w:val="001451C8"/>
    <w:rsid w:val="00146FBE"/>
    <w:rsid w:val="00147C07"/>
    <w:rsid w:val="00160679"/>
    <w:rsid w:val="00163985"/>
    <w:rsid w:val="001768FF"/>
    <w:rsid w:val="00186B71"/>
    <w:rsid w:val="00186E6A"/>
    <w:rsid w:val="00186F66"/>
    <w:rsid w:val="00187019"/>
    <w:rsid w:val="001902E3"/>
    <w:rsid w:val="00194D26"/>
    <w:rsid w:val="0019724E"/>
    <w:rsid w:val="001A4DF0"/>
    <w:rsid w:val="001A7E13"/>
    <w:rsid w:val="001B0774"/>
    <w:rsid w:val="001B4DFA"/>
    <w:rsid w:val="001C6604"/>
    <w:rsid w:val="001D044B"/>
    <w:rsid w:val="001D0DC2"/>
    <w:rsid w:val="001D2E3E"/>
    <w:rsid w:val="001E7253"/>
    <w:rsid w:val="001E7AC1"/>
    <w:rsid w:val="001F3AA9"/>
    <w:rsid w:val="001F5FE9"/>
    <w:rsid w:val="001F79A9"/>
    <w:rsid w:val="00200E72"/>
    <w:rsid w:val="0020514C"/>
    <w:rsid w:val="00205783"/>
    <w:rsid w:val="00207092"/>
    <w:rsid w:val="00213E43"/>
    <w:rsid w:val="00215560"/>
    <w:rsid w:val="00217176"/>
    <w:rsid w:val="00217C4B"/>
    <w:rsid w:val="00221A79"/>
    <w:rsid w:val="00232D8C"/>
    <w:rsid w:val="00232EBC"/>
    <w:rsid w:val="002338FB"/>
    <w:rsid w:val="00233C79"/>
    <w:rsid w:val="00234C32"/>
    <w:rsid w:val="00243205"/>
    <w:rsid w:val="002441D8"/>
    <w:rsid w:val="00245D33"/>
    <w:rsid w:val="002465A9"/>
    <w:rsid w:val="002466E3"/>
    <w:rsid w:val="00251E91"/>
    <w:rsid w:val="00256318"/>
    <w:rsid w:val="002606C2"/>
    <w:rsid w:val="00272267"/>
    <w:rsid w:val="00274546"/>
    <w:rsid w:val="00275379"/>
    <w:rsid w:val="00275D6A"/>
    <w:rsid w:val="002774AB"/>
    <w:rsid w:val="00277A17"/>
    <w:rsid w:val="00277CAC"/>
    <w:rsid w:val="00277FA2"/>
    <w:rsid w:val="00284EC1"/>
    <w:rsid w:val="00285703"/>
    <w:rsid w:val="00287A55"/>
    <w:rsid w:val="00291641"/>
    <w:rsid w:val="002925C3"/>
    <w:rsid w:val="002A48EA"/>
    <w:rsid w:val="002B5938"/>
    <w:rsid w:val="002B7CE1"/>
    <w:rsid w:val="002C5EAE"/>
    <w:rsid w:val="002C727B"/>
    <w:rsid w:val="002D30FB"/>
    <w:rsid w:val="002D3D61"/>
    <w:rsid w:val="002E058B"/>
    <w:rsid w:val="002E5739"/>
    <w:rsid w:val="002F2A1F"/>
    <w:rsid w:val="003016CD"/>
    <w:rsid w:val="00301C0B"/>
    <w:rsid w:val="00313BDB"/>
    <w:rsid w:val="0032528C"/>
    <w:rsid w:val="00332D16"/>
    <w:rsid w:val="003409E6"/>
    <w:rsid w:val="00347417"/>
    <w:rsid w:val="0035055B"/>
    <w:rsid w:val="00351436"/>
    <w:rsid w:val="00351C7D"/>
    <w:rsid w:val="003547A1"/>
    <w:rsid w:val="00357377"/>
    <w:rsid w:val="00361183"/>
    <w:rsid w:val="00362860"/>
    <w:rsid w:val="003668C4"/>
    <w:rsid w:val="00367117"/>
    <w:rsid w:val="003700CA"/>
    <w:rsid w:val="003733F0"/>
    <w:rsid w:val="00382F7B"/>
    <w:rsid w:val="00383F1D"/>
    <w:rsid w:val="00392C2F"/>
    <w:rsid w:val="00392F61"/>
    <w:rsid w:val="003A1DF3"/>
    <w:rsid w:val="003A1E20"/>
    <w:rsid w:val="003A2878"/>
    <w:rsid w:val="003A63EF"/>
    <w:rsid w:val="003B0162"/>
    <w:rsid w:val="003B1751"/>
    <w:rsid w:val="003B6484"/>
    <w:rsid w:val="003C3BD1"/>
    <w:rsid w:val="003D18C4"/>
    <w:rsid w:val="003D5B00"/>
    <w:rsid w:val="003D6797"/>
    <w:rsid w:val="003D786D"/>
    <w:rsid w:val="003E0E9B"/>
    <w:rsid w:val="003E2EC5"/>
    <w:rsid w:val="003E4480"/>
    <w:rsid w:val="003E6A77"/>
    <w:rsid w:val="003E72E2"/>
    <w:rsid w:val="003F1495"/>
    <w:rsid w:val="003F24A6"/>
    <w:rsid w:val="003F294F"/>
    <w:rsid w:val="003F55F5"/>
    <w:rsid w:val="003F598D"/>
    <w:rsid w:val="003F6C29"/>
    <w:rsid w:val="0040630B"/>
    <w:rsid w:val="00415705"/>
    <w:rsid w:val="004158C2"/>
    <w:rsid w:val="004179FD"/>
    <w:rsid w:val="004202A7"/>
    <w:rsid w:val="00420D7F"/>
    <w:rsid w:val="004235DB"/>
    <w:rsid w:val="00436223"/>
    <w:rsid w:val="004379C6"/>
    <w:rsid w:val="00442D01"/>
    <w:rsid w:val="004504AA"/>
    <w:rsid w:val="00451200"/>
    <w:rsid w:val="00457B03"/>
    <w:rsid w:val="00461946"/>
    <w:rsid w:val="004619F9"/>
    <w:rsid w:val="00462863"/>
    <w:rsid w:val="00464224"/>
    <w:rsid w:val="00467DD3"/>
    <w:rsid w:val="00471A5B"/>
    <w:rsid w:val="00477AA3"/>
    <w:rsid w:val="00480BBF"/>
    <w:rsid w:val="004810B8"/>
    <w:rsid w:val="00481E94"/>
    <w:rsid w:val="00482293"/>
    <w:rsid w:val="00486957"/>
    <w:rsid w:val="004905D2"/>
    <w:rsid w:val="00495A55"/>
    <w:rsid w:val="004A19C1"/>
    <w:rsid w:val="004A5124"/>
    <w:rsid w:val="004B2FE8"/>
    <w:rsid w:val="004B547C"/>
    <w:rsid w:val="004B6A45"/>
    <w:rsid w:val="004C0D12"/>
    <w:rsid w:val="004C2290"/>
    <w:rsid w:val="004E2060"/>
    <w:rsid w:val="004E61D7"/>
    <w:rsid w:val="004E6BA7"/>
    <w:rsid w:val="004F1819"/>
    <w:rsid w:val="004F3510"/>
    <w:rsid w:val="004F49D6"/>
    <w:rsid w:val="004F4C29"/>
    <w:rsid w:val="004F7B09"/>
    <w:rsid w:val="005016DD"/>
    <w:rsid w:val="00504445"/>
    <w:rsid w:val="00506608"/>
    <w:rsid w:val="00506972"/>
    <w:rsid w:val="005078E0"/>
    <w:rsid w:val="00507F04"/>
    <w:rsid w:val="00520F95"/>
    <w:rsid w:val="005262E1"/>
    <w:rsid w:val="005300A7"/>
    <w:rsid w:val="00532776"/>
    <w:rsid w:val="00533CC3"/>
    <w:rsid w:val="00536BC9"/>
    <w:rsid w:val="00536D86"/>
    <w:rsid w:val="00540D1B"/>
    <w:rsid w:val="00547D18"/>
    <w:rsid w:val="00547DD4"/>
    <w:rsid w:val="00550645"/>
    <w:rsid w:val="00550AB8"/>
    <w:rsid w:val="005510F0"/>
    <w:rsid w:val="00551862"/>
    <w:rsid w:val="005535A9"/>
    <w:rsid w:val="005545B4"/>
    <w:rsid w:val="0055635A"/>
    <w:rsid w:val="00561181"/>
    <w:rsid w:val="005741FA"/>
    <w:rsid w:val="00574AC0"/>
    <w:rsid w:val="00575BB9"/>
    <w:rsid w:val="00582642"/>
    <w:rsid w:val="005841CB"/>
    <w:rsid w:val="005877D7"/>
    <w:rsid w:val="00587D9C"/>
    <w:rsid w:val="0059041B"/>
    <w:rsid w:val="00593AA7"/>
    <w:rsid w:val="00595CFD"/>
    <w:rsid w:val="005A04E3"/>
    <w:rsid w:val="005A0560"/>
    <w:rsid w:val="005A13F1"/>
    <w:rsid w:val="005A1A62"/>
    <w:rsid w:val="005A220A"/>
    <w:rsid w:val="005A49A7"/>
    <w:rsid w:val="005A6191"/>
    <w:rsid w:val="005A6BFD"/>
    <w:rsid w:val="005B03D2"/>
    <w:rsid w:val="005B0CCB"/>
    <w:rsid w:val="005B473A"/>
    <w:rsid w:val="005C318E"/>
    <w:rsid w:val="005D2D61"/>
    <w:rsid w:val="005D759F"/>
    <w:rsid w:val="005E1440"/>
    <w:rsid w:val="005E3759"/>
    <w:rsid w:val="005E6147"/>
    <w:rsid w:val="005F3E59"/>
    <w:rsid w:val="005F770C"/>
    <w:rsid w:val="005F7FAC"/>
    <w:rsid w:val="006016BC"/>
    <w:rsid w:val="00603141"/>
    <w:rsid w:val="00603B8C"/>
    <w:rsid w:val="00606948"/>
    <w:rsid w:val="00610462"/>
    <w:rsid w:val="00610538"/>
    <w:rsid w:val="0061423D"/>
    <w:rsid w:val="00616792"/>
    <w:rsid w:val="00616B23"/>
    <w:rsid w:val="0061799F"/>
    <w:rsid w:val="0062021D"/>
    <w:rsid w:val="00633767"/>
    <w:rsid w:val="00633DE5"/>
    <w:rsid w:val="00643406"/>
    <w:rsid w:val="00647C79"/>
    <w:rsid w:val="00650616"/>
    <w:rsid w:val="00651301"/>
    <w:rsid w:val="00652140"/>
    <w:rsid w:val="00653E6F"/>
    <w:rsid w:val="00661B29"/>
    <w:rsid w:val="00664574"/>
    <w:rsid w:val="00674E45"/>
    <w:rsid w:val="00676940"/>
    <w:rsid w:val="006779BD"/>
    <w:rsid w:val="00677B17"/>
    <w:rsid w:val="0068326C"/>
    <w:rsid w:val="006842DD"/>
    <w:rsid w:val="00685661"/>
    <w:rsid w:val="00691065"/>
    <w:rsid w:val="006971B7"/>
    <w:rsid w:val="006B1992"/>
    <w:rsid w:val="006B27BA"/>
    <w:rsid w:val="006B5382"/>
    <w:rsid w:val="006B61C7"/>
    <w:rsid w:val="006C208A"/>
    <w:rsid w:val="006C35ED"/>
    <w:rsid w:val="006C4D5E"/>
    <w:rsid w:val="006C6C86"/>
    <w:rsid w:val="006D03B4"/>
    <w:rsid w:val="006D1BD4"/>
    <w:rsid w:val="006D1BFA"/>
    <w:rsid w:val="006D3396"/>
    <w:rsid w:val="006E328C"/>
    <w:rsid w:val="006E5289"/>
    <w:rsid w:val="006F0BD3"/>
    <w:rsid w:val="006F5953"/>
    <w:rsid w:val="0070104C"/>
    <w:rsid w:val="007079C4"/>
    <w:rsid w:val="0071222F"/>
    <w:rsid w:val="00714545"/>
    <w:rsid w:val="0071599D"/>
    <w:rsid w:val="00720AD0"/>
    <w:rsid w:val="00722518"/>
    <w:rsid w:val="0072545C"/>
    <w:rsid w:val="00735953"/>
    <w:rsid w:val="007365B3"/>
    <w:rsid w:val="00741879"/>
    <w:rsid w:val="0074700A"/>
    <w:rsid w:val="00750FB1"/>
    <w:rsid w:val="00752096"/>
    <w:rsid w:val="00754DE2"/>
    <w:rsid w:val="00755F06"/>
    <w:rsid w:val="00757FFD"/>
    <w:rsid w:val="0076080F"/>
    <w:rsid w:val="00760BC6"/>
    <w:rsid w:val="00766896"/>
    <w:rsid w:val="00772E5E"/>
    <w:rsid w:val="007751B7"/>
    <w:rsid w:val="0078085E"/>
    <w:rsid w:val="00780A75"/>
    <w:rsid w:val="0079043D"/>
    <w:rsid w:val="00791840"/>
    <w:rsid w:val="007936C3"/>
    <w:rsid w:val="0079483B"/>
    <w:rsid w:val="00797CA4"/>
    <w:rsid w:val="007A0BFC"/>
    <w:rsid w:val="007A0C15"/>
    <w:rsid w:val="007A2DAF"/>
    <w:rsid w:val="007B35FA"/>
    <w:rsid w:val="007B4EF5"/>
    <w:rsid w:val="007B5245"/>
    <w:rsid w:val="007B67A6"/>
    <w:rsid w:val="007C090F"/>
    <w:rsid w:val="007C242E"/>
    <w:rsid w:val="007C2A29"/>
    <w:rsid w:val="007C36EA"/>
    <w:rsid w:val="007C4EB1"/>
    <w:rsid w:val="007C525E"/>
    <w:rsid w:val="007C71B6"/>
    <w:rsid w:val="007D3888"/>
    <w:rsid w:val="007D4007"/>
    <w:rsid w:val="007D4B06"/>
    <w:rsid w:val="007D7012"/>
    <w:rsid w:val="007E144B"/>
    <w:rsid w:val="007E527B"/>
    <w:rsid w:val="007F1A08"/>
    <w:rsid w:val="007F1BEA"/>
    <w:rsid w:val="007F444A"/>
    <w:rsid w:val="007F6754"/>
    <w:rsid w:val="007F6E41"/>
    <w:rsid w:val="00800801"/>
    <w:rsid w:val="00800B2A"/>
    <w:rsid w:val="008045EB"/>
    <w:rsid w:val="008076B6"/>
    <w:rsid w:val="00810E07"/>
    <w:rsid w:val="0081300A"/>
    <w:rsid w:val="00820C99"/>
    <w:rsid w:val="00822F06"/>
    <w:rsid w:val="00823A68"/>
    <w:rsid w:val="0082655F"/>
    <w:rsid w:val="008271B4"/>
    <w:rsid w:val="00827BB2"/>
    <w:rsid w:val="008311DC"/>
    <w:rsid w:val="00841278"/>
    <w:rsid w:val="0084396D"/>
    <w:rsid w:val="00843F64"/>
    <w:rsid w:val="008469E7"/>
    <w:rsid w:val="008503CE"/>
    <w:rsid w:val="008538DA"/>
    <w:rsid w:val="00860C00"/>
    <w:rsid w:val="00860EAE"/>
    <w:rsid w:val="00863CB1"/>
    <w:rsid w:val="00863D07"/>
    <w:rsid w:val="00865698"/>
    <w:rsid w:val="008702B5"/>
    <w:rsid w:val="0087604E"/>
    <w:rsid w:val="00877552"/>
    <w:rsid w:val="00880D94"/>
    <w:rsid w:val="00883A9D"/>
    <w:rsid w:val="0088720C"/>
    <w:rsid w:val="00891A75"/>
    <w:rsid w:val="008921A0"/>
    <w:rsid w:val="00894308"/>
    <w:rsid w:val="008A0700"/>
    <w:rsid w:val="008B5569"/>
    <w:rsid w:val="008C0031"/>
    <w:rsid w:val="008C25F1"/>
    <w:rsid w:val="008C265D"/>
    <w:rsid w:val="008C3C8B"/>
    <w:rsid w:val="008C5104"/>
    <w:rsid w:val="008C5ECF"/>
    <w:rsid w:val="008C7355"/>
    <w:rsid w:val="008D1287"/>
    <w:rsid w:val="008D79FF"/>
    <w:rsid w:val="008E12BE"/>
    <w:rsid w:val="008E27FB"/>
    <w:rsid w:val="008E2A12"/>
    <w:rsid w:val="008E41F9"/>
    <w:rsid w:val="008F6986"/>
    <w:rsid w:val="009010B3"/>
    <w:rsid w:val="0090224E"/>
    <w:rsid w:val="00903C25"/>
    <w:rsid w:val="0091029C"/>
    <w:rsid w:val="009136AE"/>
    <w:rsid w:val="00914A56"/>
    <w:rsid w:val="0091685A"/>
    <w:rsid w:val="009214FB"/>
    <w:rsid w:val="00921583"/>
    <w:rsid w:val="00923FB2"/>
    <w:rsid w:val="009269B3"/>
    <w:rsid w:val="00931855"/>
    <w:rsid w:val="00931FB3"/>
    <w:rsid w:val="00932C24"/>
    <w:rsid w:val="00932EE8"/>
    <w:rsid w:val="00935D94"/>
    <w:rsid w:val="009418EC"/>
    <w:rsid w:val="0094465F"/>
    <w:rsid w:val="00946B63"/>
    <w:rsid w:val="00950D53"/>
    <w:rsid w:val="0095148C"/>
    <w:rsid w:val="0096200E"/>
    <w:rsid w:val="00962DDD"/>
    <w:rsid w:val="00965798"/>
    <w:rsid w:val="00967589"/>
    <w:rsid w:val="00970A86"/>
    <w:rsid w:val="009736FD"/>
    <w:rsid w:val="009742CA"/>
    <w:rsid w:val="00974969"/>
    <w:rsid w:val="00974CAE"/>
    <w:rsid w:val="00974DEC"/>
    <w:rsid w:val="009770BF"/>
    <w:rsid w:val="00982D55"/>
    <w:rsid w:val="0098393B"/>
    <w:rsid w:val="00985A8A"/>
    <w:rsid w:val="0099124C"/>
    <w:rsid w:val="00992378"/>
    <w:rsid w:val="00992655"/>
    <w:rsid w:val="009940B4"/>
    <w:rsid w:val="00995A98"/>
    <w:rsid w:val="00996E74"/>
    <w:rsid w:val="009A19CB"/>
    <w:rsid w:val="009A19DF"/>
    <w:rsid w:val="009A2617"/>
    <w:rsid w:val="009A6ED1"/>
    <w:rsid w:val="009B4C00"/>
    <w:rsid w:val="009B6DA8"/>
    <w:rsid w:val="009C4F1A"/>
    <w:rsid w:val="009D2AA9"/>
    <w:rsid w:val="009D2F97"/>
    <w:rsid w:val="009E48A6"/>
    <w:rsid w:val="009E6793"/>
    <w:rsid w:val="009F74AC"/>
    <w:rsid w:val="00A036BF"/>
    <w:rsid w:val="00A044C1"/>
    <w:rsid w:val="00A049BA"/>
    <w:rsid w:val="00A04A86"/>
    <w:rsid w:val="00A13DDA"/>
    <w:rsid w:val="00A152E4"/>
    <w:rsid w:val="00A1775A"/>
    <w:rsid w:val="00A2024B"/>
    <w:rsid w:val="00A23B82"/>
    <w:rsid w:val="00A260D2"/>
    <w:rsid w:val="00A26740"/>
    <w:rsid w:val="00A2720C"/>
    <w:rsid w:val="00A31C01"/>
    <w:rsid w:val="00A329D2"/>
    <w:rsid w:val="00A3519B"/>
    <w:rsid w:val="00A36118"/>
    <w:rsid w:val="00A4232D"/>
    <w:rsid w:val="00A43424"/>
    <w:rsid w:val="00A43837"/>
    <w:rsid w:val="00A43C91"/>
    <w:rsid w:val="00A464B3"/>
    <w:rsid w:val="00A55FA9"/>
    <w:rsid w:val="00A56AE7"/>
    <w:rsid w:val="00A64C2E"/>
    <w:rsid w:val="00A66D7F"/>
    <w:rsid w:val="00A73007"/>
    <w:rsid w:val="00A81D19"/>
    <w:rsid w:val="00A862E5"/>
    <w:rsid w:val="00A908CC"/>
    <w:rsid w:val="00A91F47"/>
    <w:rsid w:val="00A92C4C"/>
    <w:rsid w:val="00AA00B3"/>
    <w:rsid w:val="00AA245E"/>
    <w:rsid w:val="00AA4E42"/>
    <w:rsid w:val="00AA5691"/>
    <w:rsid w:val="00AA7A0B"/>
    <w:rsid w:val="00AA7B3C"/>
    <w:rsid w:val="00AB3B53"/>
    <w:rsid w:val="00AB4BA1"/>
    <w:rsid w:val="00AB7742"/>
    <w:rsid w:val="00AC0C89"/>
    <w:rsid w:val="00AC0ECD"/>
    <w:rsid w:val="00AC23A8"/>
    <w:rsid w:val="00AC2B3B"/>
    <w:rsid w:val="00AC3A9F"/>
    <w:rsid w:val="00AC775A"/>
    <w:rsid w:val="00AD08C8"/>
    <w:rsid w:val="00AD0BBD"/>
    <w:rsid w:val="00AD0D79"/>
    <w:rsid w:val="00AD0E87"/>
    <w:rsid w:val="00AD15ED"/>
    <w:rsid w:val="00AD419B"/>
    <w:rsid w:val="00AD53EF"/>
    <w:rsid w:val="00AD79F0"/>
    <w:rsid w:val="00AE032B"/>
    <w:rsid w:val="00AE2D38"/>
    <w:rsid w:val="00AE3AF3"/>
    <w:rsid w:val="00AE3B78"/>
    <w:rsid w:val="00AE6184"/>
    <w:rsid w:val="00AE7891"/>
    <w:rsid w:val="00AF1480"/>
    <w:rsid w:val="00AF1EF4"/>
    <w:rsid w:val="00AF1F7A"/>
    <w:rsid w:val="00AF47E6"/>
    <w:rsid w:val="00AF4E4F"/>
    <w:rsid w:val="00AF530C"/>
    <w:rsid w:val="00AF6AB9"/>
    <w:rsid w:val="00B00F15"/>
    <w:rsid w:val="00B02259"/>
    <w:rsid w:val="00B15B98"/>
    <w:rsid w:val="00B16A96"/>
    <w:rsid w:val="00B2003D"/>
    <w:rsid w:val="00B2148E"/>
    <w:rsid w:val="00B2212E"/>
    <w:rsid w:val="00B224F9"/>
    <w:rsid w:val="00B235A2"/>
    <w:rsid w:val="00B275D8"/>
    <w:rsid w:val="00B27B53"/>
    <w:rsid w:val="00B31E73"/>
    <w:rsid w:val="00B33EC7"/>
    <w:rsid w:val="00B37E43"/>
    <w:rsid w:val="00B41D49"/>
    <w:rsid w:val="00B43138"/>
    <w:rsid w:val="00B4481D"/>
    <w:rsid w:val="00B45A3F"/>
    <w:rsid w:val="00B460A9"/>
    <w:rsid w:val="00B47AF1"/>
    <w:rsid w:val="00B50F21"/>
    <w:rsid w:val="00B51134"/>
    <w:rsid w:val="00B602A4"/>
    <w:rsid w:val="00B607AE"/>
    <w:rsid w:val="00B63452"/>
    <w:rsid w:val="00B6347E"/>
    <w:rsid w:val="00B76AC1"/>
    <w:rsid w:val="00B82B45"/>
    <w:rsid w:val="00B86B3B"/>
    <w:rsid w:val="00B90874"/>
    <w:rsid w:val="00B91ABA"/>
    <w:rsid w:val="00B92CF1"/>
    <w:rsid w:val="00B92DAE"/>
    <w:rsid w:val="00BA5082"/>
    <w:rsid w:val="00BB3A20"/>
    <w:rsid w:val="00BB453A"/>
    <w:rsid w:val="00BB4587"/>
    <w:rsid w:val="00BB4C19"/>
    <w:rsid w:val="00BC1641"/>
    <w:rsid w:val="00BC3F85"/>
    <w:rsid w:val="00BD6370"/>
    <w:rsid w:val="00BD6757"/>
    <w:rsid w:val="00BD7599"/>
    <w:rsid w:val="00BE2FED"/>
    <w:rsid w:val="00BE3CE5"/>
    <w:rsid w:val="00BF0506"/>
    <w:rsid w:val="00BF0ED2"/>
    <w:rsid w:val="00BF0FD1"/>
    <w:rsid w:val="00BF19B8"/>
    <w:rsid w:val="00BF289B"/>
    <w:rsid w:val="00BF33DD"/>
    <w:rsid w:val="00BF705E"/>
    <w:rsid w:val="00BF76F4"/>
    <w:rsid w:val="00C01327"/>
    <w:rsid w:val="00C029B4"/>
    <w:rsid w:val="00C06EC5"/>
    <w:rsid w:val="00C13688"/>
    <w:rsid w:val="00C13F68"/>
    <w:rsid w:val="00C14F92"/>
    <w:rsid w:val="00C178DE"/>
    <w:rsid w:val="00C17FA4"/>
    <w:rsid w:val="00C2176F"/>
    <w:rsid w:val="00C22471"/>
    <w:rsid w:val="00C24905"/>
    <w:rsid w:val="00C31443"/>
    <w:rsid w:val="00C3160A"/>
    <w:rsid w:val="00C334FA"/>
    <w:rsid w:val="00C37857"/>
    <w:rsid w:val="00C44F27"/>
    <w:rsid w:val="00C4784E"/>
    <w:rsid w:val="00C50BD4"/>
    <w:rsid w:val="00C524AD"/>
    <w:rsid w:val="00C6577B"/>
    <w:rsid w:val="00C660FA"/>
    <w:rsid w:val="00C66288"/>
    <w:rsid w:val="00C67FF3"/>
    <w:rsid w:val="00C70130"/>
    <w:rsid w:val="00C72B5D"/>
    <w:rsid w:val="00C85B9C"/>
    <w:rsid w:val="00C91E91"/>
    <w:rsid w:val="00C95033"/>
    <w:rsid w:val="00C96993"/>
    <w:rsid w:val="00CA16C6"/>
    <w:rsid w:val="00CA324A"/>
    <w:rsid w:val="00CA4968"/>
    <w:rsid w:val="00CA7572"/>
    <w:rsid w:val="00CB2F4E"/>
    <w:rsid w:val="00CB5962"/>
    <w:rsid w:val="00CB5CCB"/>
    <w:rsid w:val="00CB5FF9"/>
    <w:rsid w:val="00CB6A04"/>
    <w:rsid w:val="00CC1F70"/>
    <w:rsid w:val="00CC3B53"/>
    <w:rsid w:val="00CC4FD9"/>
    <w:rsid w:val="00CE0DED"/>
    <w:rsid w:val="00CE50DA"/>
    <w:rsid w:val="00CE7CF6"/>
    <w:rsid w:val="00CF083E"/>
    <w:rsid w:val="00CF5E98"/>
    <w:rsid w:val="00CF6B9E"/>
    <w:rsid w:val="00CF7D6E"/>
    <w:rsid w:val="00D0762E"/>
    <w:rsid w:val="00D07A73"/>
    <w:rsid w:val="00D1046F"/>
    <w:rsid w:val="00D2153E"/>
    <w:rsid w:val="00D30917"/>
    <w:rsid w:val="00D340CC"/>
    <w:rsid w:val="00D354EC"/>
    <w:rsid w:val="00D357A7"/>
    <w:rsid w:val="00D3590F"/>
    <w:rsid w:val="00D37AC1"/>
    <w:rsid w:val="00D42812"/>
    <w:rsid w:val="00D42BE8"/>
    <w:rsid w:val="00D4352A"/>
    <w:rsid w:val="00D463C9"/>
    <w:rsid w:val="00D465F9"/>
    <w:rsid w:val="00D5196E"/>
    <w:rsid w:val="00D53073"/>
    <w:rsid w:val="00D532DB"/>
    <w:rsid w:val="00D538E2"/>
    <w:rsid w:val="00D546AC"/>
    <w:rsid w:val="00D558CB"/>
    <w:rsid w:val="00D569CD"/>
    <w:rsid w:val="00D60347"/>
    <w:rsid w:val="00D610E1"/>
    <w:rsid w:val="00D61B63"/>
    <w:rsid w:val="00D635B5"/>
    <w:rsid w:val="00D65424"/>
    <w:rsid w:val="00D65E6B"/>
    <w:rsid w:val="00D73ADA"/>
    <w:rsid w:val="00D759C9"/>
    <w:rsid w:val="00D8240B"/>
    <w:rsid w:val="00D84154"/>
    <w:rsid w:val="00D84DEF"/>
    <w:rsid w:val="00D86086"/>
    <w:rsid w:val="00D86663"/>
    <w:rsid w:val="00D90815"/>
    <w:rsid w:val="00D91015"/>
    <w:rsid w:val="00D91A25"/>
    <w:rsid w:val="00D922C9"/>
    <w:rsid w:val="00D93532"/>
    <w:rsid w:val="00D93999"/>
    <w:rsid w:val="00D968AF"/>
    <w:rsid w:val="00DB1360"/>
    <w:rsid w:val="00DB191F"/>
    <w:rsid w:val="00DB40D8"/>
    <w:rsid w:val="00DB4AB1"/>
    <w:rsid w:val="00DC0D5F"/>
    <w:rsid w:val="00DC7850"/>
    <w:rsid w:val="00DC7D0B"/>
    <w:rsid w:val="00DD1084"/>
    <w:rsid w:val="00DD5B79"/>
    <w:rsid w:val="00DE2662"/>
    <w:rsid w:val="00DE327A"/>
    <w:rsid w:val="00DE3471"/>
    <w:rsid w:val="00DE3677"/>
    <w:rsid w:val="00DF0B5B"/>
    <w:rsid w:val="00DF3852"/>
    <w:rsid w:val="00DF510A"/>
    <w:rsid w:val="00DF5C1B"/>
    <w:rsid w:val="00E016C4"/>
    <w:rsid w:val="00E05685"/>
    <w:rsid w:val="00E102C4"/>
    <w:rsid w:val="00E125BC"/>
    <w:rsid w:val="00E13CB0"/>
    <w:rsid w:val="00E140AD"/>
    <w:rsid w:val="00E15A53"/>
    <w:rsid w:val="00E20AE3"/>
    <w:rsid w:val="00E21386"/>
    <w:rsid w:val="00E26770"/>
    <w:rsid w:val="00E31179"/>
    <w:rsid w:val="00E371F0"/>
    <w:rsid w:val="00E509DE"/>
    <w:rsid w:val="00E50DF8"/>
    <w:rsid w:val="00E55677"/>
    <w:rsid w:val="00E5600A"/>
    <w:rsid w:val="00E56B9C"/>
    <w:rsid w:val="00E56E78"/>
    <w:rsid w:val="00E57DE5"/>
    <w:rsid w:val="00E608A2"/>
    <w:rsid w:val="00E617C7"/>
    <w:rsid w:val="00E75715"/>
    <w:rsid w:val="00E83AEB"/>
    <w:rsid w:val="00E86FF3"/>
    <w:rsid w:val="00E8740A"/>
    <w:rsid w:val="00E92599"/>
    <w:rsid w:val="00E95397"/>
    <w:rsid w:val="00E95A7E"/>
    <w:rsid w:val="00EA6E8D"/>
    <w:rsid w:val="00EB48D7"/>
    <w:rsid w:val="00EB5E83"/>
    <w:rsid w:val="00EB6537"/>
    <w:rsid w:val="00EC0C43"/>
    <w:rsid w:val="00EC4635"/>
    <w:rsid w:val="00EC4EF8"/>
    <w:rsid w:val="00EC5755"/>
    <w:rsid w:val="00EC660C"/>
    <w:rsid w:val="00ED327C"/>
    <w:rsid w:val="00ED57F5"/>
    <w:rsid w:val="00ED58E1"/>
    <w:rsid w:val="00ED5AB2"/>
    <w:rsid w:val="00EE296D"/>
    <w:rsid w:val="00EE36E9"/>
    <w:rsid w:val="00EE668D"/>
    <w:rsid w:val="00EF4E3C"/>
    <w:rsid w:val="00EF6926"/>
    <w:rsid w:val="00F0114F"/>
    <w:rsid w:val="00F01551"/>
    <w:rsid w:val="00F02126"/>
    <w:rsid w:val="00F02F61"/>
    <w:rsid w:val="00F06120"/>
    <w:rsid w:val="00F10704"/>
    <w:rsid w:val="00F1117F"/>
    <w:rsid w:val="00F11AF0"/>
    <w:rsid w:val="00F14BC2"/>
    <w:rsid w:val="00F1617C"/>
    <w:rsid w:val="00F17EDA"/>
    <w:rsid w:val="00F23893"/>
    <w:rsid w:val="00F25AD0"/>
    <w:rsid w:val="00F25AF1"/>
    <w:rsid w:val="00F26280"/>
    <w:rsid w:val="00F329AE"/>
    <w:rsid w:val="00F32DDB"/>
    <w:rsid w:val="00F425CC"/>
    <w:rsid w:val="00F42C61"/>
    <w:rsid w:val="00F4760B"/>
    <w:rsid w:val="00F47B2A"/>
    <w:rsid w:val="00F5143D"/>
    <w:rsid w:val="00F547BC"/>
    <w:rsid w:val="00F57ABE"/>
    <w:rsid w:val="00F617FD"/>
    <w:rsid w:val="00F61C39"/>
    <w:rsid w:val="00F63785"/>
    <w:rsid w:val="00F637E1"/>
    <w:rsid w:val="00F64EC3"/>
    <w:rsid w:val="00F71552"/>
    <w:rsid w:val="00F73EE4"/>
    <w:rsid w:val="00F861B8"/>
    <w:rsid w:val="00F92044"/>
    <w:rsid w:val="00F93D52"/>
    <w:rsid w:val="00F95138"/>
    <w:rsid w:val="00F95A4B"/>
    <w:rsid w:val="00F96065"/>
    <w:rsid w:val="00FA0DF9"/>
    <w:rsid w:val="00FA1C52"/>
    <w:rsid w:val="00FA1D7A"/>
    <w:rsid w:val="00FA5EFC"/>
    <w:rsid w:val="00FA6BF1"/>
    <w:rsid w:val="00FA73F3"/>
    <w:rsid w:val="00FA7F5C"/>
    <w:rsid w:val="00FB0846"/>
    <w:rsid w:val="00FB2064"/>
    <w:rsid w:val="00FB2D90"/>
    <w:rsid w:val="00FB32C8"/>
    <w:rsid w:val="00FB4703"/>
    <w:rsid w:val="00FB4991"/>
    <w:rsid w:val="00FB70CD"/>
    <w:rsid w:val="00FC21C4"/>
    <w:rsid w:val="00FC310C"/>
    <w:rsid w:val="00FC522C"/>
    <w:rsid w:val="00FC67A8"/>
    <w:rsid w:val="00FC772C"/>
    <w:rsid w:val="00FD0E3C"/>
    <w:rsid w:val="00FD2BA4"/>
    <w:rsid w:val="00FD2EAA"/>
    <w:rsid w:val="00FE3053"/>
    <w:rsid w:val="00FE4B87"/>
    <w:rsid w:val="00FE4D28"/>
    <w:rsid w:val="00FE628E"/>
    <w:rsid w:val="00FE721D"/>
    <w:rsid w:val="00FF008E"/>
    <w:rsid w:val="00FF09C7"/>
    <w:rsid w:val="00FF116C"/>
    <w:rsid w:val="00FF3D1D"/>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65CE8"/>
  <w15:docId w15:val="{17ABB853-7DAD-48F6-8A4F-DB9E3D64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val="x-none"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val="x-none"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val="x-none"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val="x-none"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val="x-none"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val="x-none"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val="x-none"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val="x-none"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val="x-none"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val="x-none"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val="x-none"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val="x-none"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val="x-none"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val="x-none"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val="x-none"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semiHidden/>
    <w:unhideWhenUsed/>
    <w:rsid w:val="004F3510"/>
    <w:pPr>
      <w:spacing w:after="120"/>
      <w:ind w:left="283"/>
    </w:pPr>
  </w:style>
  <w:style w:type="character" w:customStyle="1" w:styleId="BodyTextIndentChar">
    <w:name w:val="Body Text Indent Char"/>
    <w:basedOn w:val="DefaultParagraphFont"/>
    <w:link w:val="BodyTextIndent"/>
    <w:uiPriority w:val="99"/>
    <w:semiHidden/>
    <w:locked/>
    <w:rsid w:val="004F3510"/>
    <w:rPr>
      <w:rFonts w:ascii="Arial" w:hAnsi="Arial" w:cs="Arial"/>
      <w:sz w:val="24"/>
      <w:szCs w:val="24"/>
      <w:lang w:val="x-none"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27"/>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842">
      <w:bodyDiv w:val="1"/>
      <w:marLeft w:val="0"/>
      <w:marRight w:val="0"/>
      <w:marTop w:val="0"/>
      <w:marBottom w:val="0"/>
      <w:divBdr>
        <w:top w:val="none" w:sz="0" w:space="0" w:color="auto"/>
        <w:left w:val="none" w:sz="0" w:space="0" w:color="auto"/>
        <w:bottom w:val="none" w:sz="0" w:space="0" w:color="auto"/>
        <w:right w:val="none" w:sz="0" w:space="0" w:color="auto"/>
      </w:divBdr>
    </w:div>
    <w:div w:id="377240029">
      <w:bodyDiv w:val="1"/>
      <w:marLeft w:val="0"/>
      <w:marRight w:val="0"/>
      <w:marTop w:val="0"/>
      <w:marBottom w:val="0"/>
      <w:divBdr>
        <w:top w:val="none" w:sz="0" w:space="0" w:color="auto"/>
        <w:left w:val="none" w:sz="0" w:space="0" w:color="auto"/>
        <w:bottom w:val="none" w:sz="0" w:space="0" w:color="auto"/>
        <w:right w:val="none" w:sz="0" w:space="0" w:color="auto"/>
      </w:divBdr>
    </w:div>
    <w:div w:id="828523625">
      <w:bodyDiv w:val="1"/>
      <w:marLeft w:val="0"/>
      <w:marRight w:val="0"/>
      <w:marTop w:val="0"/>
      <w:marBottom w:val="0"/>
      <w:divBdr>
        <w:top w:val="none" w:sz="0" w:space="0" w:color="auto"/>
        <w:left w:val="none" w:sz="0" w:space="0" w:color="auto"/>
        <w:bottom w:val="none" w:sz="0" w:space="0" w:color="auto"/>
        <w:right w:val="none" w:sz="0" w:space="0" w:color="auto"/>
      </w:divBdr>
    </w:div>
    <w:div w:id="848838026">
      <w:bodyDiv w:val="1"/>
      <w:marLeft w:val="0"/>
      <w:marRight w:val="0"/>
      <w:marTop w:val="0"/>
      <w:marBottom w:val="0"/>
      <w:divBdr>
        <w:top w:val="none" w:sz="0" w:space="0" w:color="auto"/>
        <w:left w:val="none" w:sz="0" w:space="0" w:color="auto"/>
        <w:bottom w:val="none" w:sz="0" w:space="0" w:color="auto"/>
        <w:right w:val="none" w:sz="0" w:space="0" w:color="auto"/>
      </w:divBdr>
    </w:div>
    <w:div w:id="979529872">
      <w:bodyDiv w:val="1"/>
      <w:marLeft w:val="0"/>
      <w:marRight w:val="0"/>
      <w:marTop w:val="0"/>
      <w:marBottom w:val="0"/>
      <w:divBdr>
        <w:top w:val="none" w:sz="0" w:space="0" w:color="auto"/>
        <w:left w:val="none" w:sz="0" w:space="0" w:color="auto"/>
        <w:bottom w:val="none" w:sz="0" w:space="0" w:color="auto"/>
        <w:right w:val="none" w:sz="0" w:space="0" w:color="auto"/>
      </w:divBdr>
    </w:div>
    <w:div w:id="1151294721">
      <w:bodyDiv w:val="1"/>
      <w:marLeft w:val="0"/>
      <w:marRight w:val="0"/>
      <w:marTop w:val="0"/>
      <w:marBottom w:val="0"/>
      <w:divBdr>
        <w:top w:val="none" w:sz="0" w:space="0" w:color="auto"/>
        <w:left w:val="none" w:sz="0" w:space="0" w:color="auto"/>
        <w:bottom w:val="none" w:sz="0" w:space="0" w:color="auto"/>
        <w:right w:val="none" w:sz="0" w:space="0" w:color="auto"/>
      </w:divBdr>
    </w:div>
    <w:div w:id="1276669632">
      <w:bodyDiv w:val="1"/>
      <w:marLeft w:val="0"/>
      <w:marRight w:val="0"/>
      <w:marTop w:val="0"/>
      <w:marBottom w:val="0"/>
      <w:divBdr>
        <w:top w:val="none" w:sz="0" w:space="0" w:color="auto"/>
        <w:left w:val="none" w:sz="0" w:space="0" w:color="auto"/>
        <w:bottom w:val="none" w:sz="0" w:space="0" w:color="auto"/>
        <w:right w:val="none" w:sz="0" w:space="0" w:color="auto"/>
      </w:divBdr>
    </w:div>
    <w:div w:id="1279413020">
      <w:bodyDiv w:val="1"/>
      <w:marLeft w:val="0"/>
      <w:marRight w:val="0"/>
      <w:marTop w:val="0"/>
      <w:marBottom w:val="0"/>
      <w:divBdr>
        <w:top w:val="none" w:sz="0" w:space="0" w:color="auto"/>
        <w:left w:val="none" w:sz="0" w:space="0" w:color="auto"/>
        <w:bottom w:val="none" w:sz="0" w:space="0" w:color="auto"/>
        <w:right w:val="none" w:sz="0" w:space="0" w:color="auto"/>
      </w:divBdr>
    </w:div>
    <w:div w:id="1676809632">
      <w:bodyDiv w:val="1"/>
      <w:marLeft w:val="0"/>
      <w:marRight w:val="0"/>
      <w:marTop w:val="0"/>
      <w:marBottom w:val="0"/>
      <w:divBdr>
        <w:top w:val="none" w:sz="0" w:space="0" w:color="auto"/>
        <w:left w:val="none" w:sz="0" w:space="0" w:color="auto"/>
        <w:bottom w:val="none" w:sz="0" w:space="0" w:color="auto"/>
        <w:right w:val="none" w:sz="0" w:space="0" w:color="auto"/>
      </w:divBdr>
    </w:div>
    <w:div w:id="1720931752">
      <w:bodyDiv w:val="1"/>
      <w:marLeft w:val="0"/>
      <w:marRight w:val="0"/>
      <w:marTop w:val="0"/>
      <w:marBottom w:val="0"/>
      <w:divBdr>
        <w:top w:val="none" w:sz="0" w:space="0" w:color="auto"/>
        <w:left w:val="none" w:sz="0" w:space="0" w:color="auto"/>
        <w:bottom w:val="none" w:sz="0" w:space="0" w:color="auto"/>
        <w:right w:val="none" w:sz="0" w:space="0" w:color="auto"/>
      </w:divBdr>
    </w:div>
    <w:div w:id="20262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Res\County%20Treasurer\Treasury\TM%20Stategy%20reports\2017-18\Estimated%20capital%20financing%20requiremen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CFR and Debt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'cfr v debt'!$C$6</c:f>
              <c:strCache>
                <c:ptCount val="1"/>
                <c:pt idx="0">
                  <c:v>CFR</c:v>
                </c:pt>
              </c:strCache>
            </c:strRef>
          </c:tx>
          <c:spPr>
            <a:ln w="28575" cap="rnd">
              <a:solidFill>
                <a:schemeClr val="accent1"/>
              </a:solidFill>
              <a:round/>
            </a:ln>
            <a:effectLst/>
          </c:spPr>
          <c:marker>
            <c:symbol val="none"/>
          </c:marker>
          <c:val>
            <c:numRef>
              <c:f>'cfr v debt'!$C$7:$C$56</c:f>
              <c:numCache>
                <c:formatCode>General</c:formatCode>
                <c:ptCount val="50"/>
                <c:pt idx="0">
                  <c:v>842.93100000000004</c:v>
                </c:pt>
                <c:pt idx="1">
                  <c:v>843.98199999999997</c:v>
                </c:pt>
                <c:pt idx="2">
                  <c:v>881.27700000000004</c:v>
                </c:pt>
                <c:pt idx="3">
                  <c:v>881.00800000000004</c:v>
                </c:pt>
                <c:pt idx="4">
                  <c:v>855.97400000000005</c:v>
                </c:pt>
                <c:pt idx="5">
                  <c:v>830.36800000000005</c:v>
                </c:pt>
                <c:pt idx="6">
                  <c:v>804.17</c:v>
                </c:pt>
                <c:pt idx="7">
                  <c:v>777.35599999999999</c:v>
                </c:pt>
                <c:pt idx="8">
                  <c:v>749.90700000000004</c:v>
                </c:pt>
                <c:pt idx="9">
                  <c:v>721.8</c:v>
                </c:pt>
                <c:pt idx="10">
                  <c:v>693.00900000000001</c:v>
                </c:pt>
                <c:pt idx="11">
                  <c:v>663.51099999999997</c:v>
                </c:pt>
                <c:pt idx="12">
                  <c:v>633.28099999999995</c:v>
                </c:pt>
                <c:pt idx="13">
                  <c:v>602.29100000000005</c:v>
                </c:pt>
                <c:pt idx="14">
                  <c:v>570.51499999999999</c:v>
                </c:pt>
                <c:pt idx="15">
                  <c:v>537.92499999999995</c:v>
                </c:pt>
                <c:pt idx="16">
                  <c:v>504.49099999999999</c:v>
                </c:pt>
                <c:pt idx="17">
                  <c:v>470.435</c:v>
                </c:pt>
                <c:pt idx="18">
                  <c:v>435.82400000000001</c:v>
                </c:pt>
                <c:pt idx="19">
                  <c:v>401.291</c:v>
                </c:pt>
                <c:pt idx="20">
                  <c:v>367.28300000000002</c:v>
                </c:pt>
                <c:pt idx="21">
                  <c:v>336.20600000000002</c:v>
                </c:pt>
                <c:pt idx="22">
                  <c:v>304.31200000000001</c:v>
                </c:pt>
                <c:pt idx="23">
                  <c:v>286.02</c:v>
                </c:pt>
                <c:pt idx="24">
                  <c:v>267.42700000000002</c:v>
                </c:pt>
                <c:pt idx="25">
                  <c:v>248.523</c:v>
                </c:pt>
                <c:pt idx="26">
                  <c:v>232.374</c:v>
                </c:pt>
                <c:pt idx="27">
                  <c:v>217.31</c:v>
                </c:pt>
                <c:pt idx="28">
                  <c:v>205.524</c:v>
                </c:pt>
                <c:pt idx="29">
                  <c:v>195.03200000000001</c:v>
                </c:pt>
                <c:pt idx="30">
                  <c:v>184.489</c:v>
                </c:pt>
                <c:pt idx="31">
                  <c:v>173.892</c:v>
                </c:pt>
                <c:pt idx="32">
                  <c:v>163.24100000000001</c:v>
                </c:pt>
                <c:pt idx="33">
                  <c:v>152.53299999999999</c:v>
                </c:pt>
                <c:pt idx="34">
                  <c:v>141.767</c:v>
                </c:pt>
                <c:pt idx="35">
                  <c:v>130.94</c:v>
                </c:pt>
                <c:pt idx="36">
                  <c:v>120.051</c:v>
                </c:pt>
                <c:pt idx="37">
                  <c:v>109.09699999999999</c:v>
                </c:pt>
                <c:pt idx="38">
                  <c:v>98.078000000000003</c:v>
                </c:pt>
                <c:pt idx="39">
                  <c:v>86.99</c:v>
                </c:pt>
                <c:pt idx="40">
                  <c:v>75.831000000000003</c:v>
                </c:pt>
                <c:pt idx="41">
                  <c:v>64.599999999999994</c:v>
                </c:pt>
                <c:pt idx="42">
                  <c:v>53.323999999999998</c:v>
                </c:pt>
                <c:pt idx="43">
                  <c:v>44.436999999999998</c:v>
                </c:pt>
                <c:pt idx="44">
                  <c:v>35.549999999999997</c:v>
                </c:pt>
                <c:pt idx="45">
                  <c:v>26.663</c:v>
                </c:pt>
                <c:pt idx="46">
                  <c:v>17.776</c:v>
                </c:pt>
                <c:pt idx="47">
                  <c:v>8.8889999999999993</c:v>
                </c:pt>
                <c:pt idx="48">
                  <c:v>0</c:v>
                </c:pt>
                <c:pt idx="49">
                  <c:v>0</c:v>
                </c:pt>
              </c:numCache>
            </c:numRef>
          </c:val>
          <c:smooth val="0"/>
        </c:ser>
        <c:ser>
          <c:idx val="1"/>
          <c:order val="1"/>
          <c:tx>
            <c:strRef>
              <c:f>'cfr v debt'!$D$6</c:f>
              <c:strCache>
                <c:ptCount val="1"/>
                <c:pt idx="0">
                  <c:v>Debt</c:v>
                </c:pt>
              </c:strCache>
            </c:strRef>
          </c:tx>
          <c:spPr>
            <a:ln w="28575" cap="rnd">
              <a:solidFill>
                <a:schemeClr val="accent2"/>
              </a:solidFill>
              <a:round/>
            </a:ln>
            <a:effectLst/>
          </c:spPr>
          <c:marker>
            <c:symbol val="none"/>
          </c:marker>
          <c:val>
            <c:numRef>
              <c:f>'cfr v debt'!$D$7:$D$56</c:f>
              <c:numCache>
                <c:formatCode>General</c:formatCode>
                <c:ptCount val="50"/>
                <c:pt idx="0">
                  <c:v>868.63300000000004</c:v>
                </c:pt>
                <c:pt idx="1">
                  <c:v>584.13300000000004</c:v>
                </c:pt>
                <c:pt idx="2">
                  <c:v>423.13299999999998</c:v>
                </c:pt>
                <c:pt idx="3">
                  <c:v>395.63299999999998</c:v>
                </c:pt>
                <c:pt idx="4">
                  <c:v>204.6</c:v>
                </c:pt>
                <c:pt idx="5">
                  <c:v>199.6</c:v>
                </c:pt>
                <c:pt idx="6">
                  <c:v>184.6</c:v>
                </c:pt>
                <c:pt idx="7">
                  <c:v>174.6</c:v>
                </c:pt>
                <c:pt idx="8">
                  <c:v>164.6</c:v>
                </c:pt>
                <c:pt idx="9">
                  <c:v>154.6</c:v>
                </c:pt>
                <c:pt idx="10">
                  <c:v>144.6</c:v>
                </c:pt>
                <c:pt idx="11">
                  <c:v>136.19999999999999</c:v>
                </c:pt>
                <c:pt idx="12">
                  <c:v>126.2</c:v>
                </c:pt>
                <c:pt idx="13">
                  <c:v>115</c:v>
                </c:pt>
                <c:pt idx="14">
                  <c:v>115</c:v>
                </c:pt>
                <c:pt idx="15">
                  <c:v>100</c:v>
                </c:pt>
                <c:pt idx="16">
                  <c:v>80</c:v>
                </c:pt>
                <c:pt idx="17">
                  <c:v>60</c:v>
                </c:pt>
                <c:pt idx="18">
                  <c:v>60</c:v>
                </c:pt>
                <c:pt idx="19">
                  <c:v>60</c:v>
                </c:pt>
                <c:pt idx="20">
                  <c:v>60</c:v>
                </c:pt>
                <c:pt idx="21">
                  <c:v>60</c:v>
                </c:pt>
                <c:pt idx="22">
                  <c:v>60</c:v>
                </c:pt>
                <c:pt idx="23">
                  <c:v>60</c:v>
                </c:pt>
                <c:pt idx="24">
                  <c:v>60</c:v>
                </c:pt>
                <c:pt idx="25">
                  <c:v>30</c:v>
                </c:pt>
                <c:pt idx="26">
                  <c:v>30</c:v>
                </c:pt>
                <c:pt idx="27">
                  <c:v>30</c:v>
                </c:pt>
                <c:pt idx="28">
                  <c:v>30</c:v>
                </c:pt>
                <c:pt idx="29">
                  <c:v>30</c:v>
                </c:pt>
                <c:pt idx="30">
                  <c:v>30</c:v>
                </c:pt>
                <c:pt idx="31">
                  <c:v>30</c:v>
                </c:pt>
                <c:pt idx="32">
                  <c:v>30</c:v>
                </c:pt>
                <c:pt idx="33">
                  <c:v>30</c:v>
                </c:pt>
                <c:pt idx="34">
                  <c:v>30</c:v>
                </c:pt>
                <c:pt idx="35">
                  <c:v>30</c:v>
                </c:pt>
                <c:pt idx="36">
                  <c:v>30</c:v>
                </c:pt>
                <c:pt idx="37">
                  <c:v>30</c:v>
                </c:pt>
                <c:pt idx="38">
                  <c:v>30</c:v>
                </c:pt>
                <c:pt idx="39">
                  <c:v>30</c:v>
                </c:pt>
                <c:pt idx="40">
                  <c:v>30</c:v>
                </c:pt>
                <c:pt idx="41">
                  <c:v>0</c:v>
                </c:pt>
                <c:pt idx="42">
                  <c:v>0</c:v>
                </c:pt>
                <c:pt idx="43">
                  <c:v>0</c:v>
                </c:pt>
                <c:pt idx="44">
                  <c:v>0</c:v>
                </c:pt>
                <c:pt idx="45">
                  <c:v>0</c:v>
                </c:pt>
                <c:pt idx="46">
                  <c:v>0</c:v>
                </c:pt>
                <c:pt idx="47">
                  <c:v>0</c:v>
                </c:pt>
                <c:pt idx="48">
                  <c:v>0</c:v>
                </c:pt>
                <c:pt idx="49">
                  <c:v>0</c:v>
                </c:pt>
              </c:numCache>
            </c:numRef>
          </c:val>
          <c:smooth val="0"/>
        </c:ser>
        <c:dLbls>
          <c:showLegendKey val="0"/>
          <c:showVal val="0"/>
          <c:showCatName val="0"/>
          <c:showSerName val="0"/>
          <c:showPercent val="0"/>
          <c:showBubbleSize val="0"/>
        </c:dLbls>
        <c:smooth val="0"/>
        <c:axId val="430705816"/>
        <c:axId val="430706208"/>
      </c:lineChart>
      <c:catAx>
        <c:axId val="430705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706208"/>
        <c:crosses val="autoZero"/>
        <c:auto val="1"/>
        <c:lblAlgn val="ctr"/>
        <c:lblOffset val="100"/>
        <c:noMultiLvlLbl val="0"/>
      </c:catAx>
      <c:valAx>
        <c:axId val="43070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705816"/>
        <c:crosses val="autoZero"/>
        <c:crossBetween val="between"/>
      </c:valAx>
      <c:spPr>
        <a:noFill/>
        <a:ln>
          <a:noFill/>
        </a:ln>
        <a:effectLst/>
      </c:spPr>
    </c:plotArea>
    <c:legend>
      <c:legendPos val="t"/>
      <c:layout>
        <c:manualLayout>
          <c:xMode val="edge"/>
          <c:yMode val="edge"/>
          <c:x val="0.40069969378827641"/>
          <c:y val="0.24578703703703703"/>
          <c:w val="0.1347115048118985"/>
          <c:h val="0.15682925051035285"/>
        </c:manualLayout>
      </c:layout>
      <c:overlay val="1"/>
      <c:spPr>
        <a:noFill/>
        <a:ln>
          <a:noFill/>
        </a:ln>
        <a:effectLst/>
      </c:spPr>
      <c:txPr>
        <a:bodyPr rot="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1550-F565-4906-8FBE-16D31C1D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7352</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Gorman, Dave</cp:lastModifiedBy>
  <cp:revision>4</cp:revision>
  <cp:lastPrinted>2017-01-31T10:24:00Z</cp:lastPrinted>
  <dcterms:created xsi:type="dcterms:W3CDTF">2017-02-01T08:20:00Z</dcterms:created>
  <dcterms:modified xsi:type="dcterms:W3CDTF">2017-02-01T08:45:00Z</dcterms:modified>
</cp:coreProperties>
</file>